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8A1572" w14:textId="77777777" w:rsidR="00DD2567" w:rsidRDefault="00DD2567">
      <w:pPr>
        <w:jc w:val="center"/>
        <w:rPr>
          <w:rFonts w:ascii="仿宋_GB2312" w:eastAsia="仿宋_GB2312" w:hAnsi="宋体"/>
          <w:color w:val="000000"/>
          <w:sz w:val="28"/>
        </w:rPr>
      </w:pPr>
      <w:bookmarkStart w:id="0" w:name="_GoBack"/>
      <w:bookmarkEnd w:id="0"/>
    </w:p>
    <w:p w14:paraId="1D657A74" w14:textId="77777777" w:rsidR="00DD2567" w:rsidRDefault="00DD2567">
      <w:pPr>
        <w:jc w:val="center"/>
        <w:rPr>
          <w:rFonts w:ascii="仿宋_GB2312" w:eastAsia="仿宋_GB2312" w:hAnsi="宋体"/>
          <w:color w:val="000000"/>
          <w:sz w:val="28"/>
        </w:rPr>
      </w:pPr>
    </w:p>
    <w:p w14:paraId="591764EB" w14:textId="77777777" w:rsidR="00DD2567" w:rsidRDefault="00DD2567">
      <w:pPr>
        <w:spacing w:line="440" w:lineRule="exact"/>
        <w:jc w:val="right"/>
        <w:rPr>
          <w:rFonts w:ascii="仿宋_GB2312" w:eastAsia="仿宋_GB2312"/>
          <w:sz w:val="28"/>
          <w:szCs w:val="28"/>
        </w:rPr>
      </w:pPr>
    </w:p>
    <w:p w14:paraId="71876EB9" w14:textId="77777777" w:rsidR="00DD2567" w:rsidRDefault="00DD2567">
      <w:pPr>
        <w:spacing w:line="440" w:lineRule="exact"/>
        <w:jc w:val="right"/>
        <w:rPr>
          <w:rFonts w:ascii="仿宋_GB2312" w:eastAsia="仿宋_GB2312"/>
          <w:sz w:val="28"/>
          <w:szCs w:val="28"/>
        </w:rPr>
      </w:pPr>
    </w:p>
    <w:p w14:paraId="73AFA9DD" w14:textId="77777777" w:rsidR="00DD2567" w:rsidRDefault="00DD2567">
      <w:pPr>
        <w:spacing w:line="440" w:lineRule="exact"/>
        <w:jc w:val="right"/>
        <w:rPr>
          <w:rFonts w:ascii="仿宋_GB2312" w:eastAsia="仿宋_GB2312"/>
          <w:sz w:val="28"/>
          <w:szCs w:val="28"/>
        </w:rPr>
      </w:pPr>
    </w:p>
    <w:p w14:paraId="35146A76" w14:textId="77777777" w:rsidR="00DD2567" w:rsidRDefault="00DD2567">
      <w:pPr>
        <w:tabs>
          <w:tab w:val="left" w:pos="6660"/>
        </w:tabs>
        <w:spacing w:line="360" w:lineRule="auto"/>
        <w:jc w:val="center"/>
        <w:rPr>
          <w:bCs/>
          <w:sz w:val="44"/>
        </w:rPr>
      </w:pPr>
    </w:p>
    <w:p w14:paraId="6B450F59" w14:textId="77777777" w:rsidR="00DD2567" w:rsidRDefault="00DD2567">
      <w:pPr>
        <w:spacing w:line="360" w:lineRule="auto"/>
        <w:jc w:val="center"/>
        <w:rPr>
          <w:bCs/>
          <w:sz w:val="24"/>
        </w:rPr>
      </w:pPr>
    </w:p>
    <w:p w14:paraId="536ACB68" w14:textId="77777777" w:rsidR="00DD2567" w:rsidRDefault="00680E4C">
      <w:pPr>
        <w:jc w:val="center"/>
        <w:rPr>
          <w:b/>
          <w:sz w:val="52"/>
        </w:rPr>
      </w:pPr>
      <w:r>
        <w:rPr>
          <w:b/>
          <w:sz w:val="52"/>
        </w:rPr>
        <w:t>浙商基金管理有限公司</w:t>
      </w:r>
    </w:p>
    <w:p w14:paraId="430A3B35" w14:textId="77777777" w:rsidR="00DD2567" w:rsidRDefault="00DD2567">
      <w:pPr>
        <w:rPr>
          <w:b/>
        </w:rPr>
      </w:pPr>
    </w:p>
    <w:p w14:paraId="7A8E45B4" w14:textId="77777777" w:rsidR="00DD2567" w:rsidRDefault="00DD2567">
      <w:pPr>
        <w:jc w:val="center"/>
        <w:rPr>
          <w:b/>
          <w:sz w:val="52"/>
        </w:rPr>
      </w:pPr>
    </w:p>
    <w:p w14:paraId="3F150858" w14:textId="77777777" w:rsidR="00DD2567" w:rsidRDefault="00680E4C">
      <w:pPr>
        <w:jc w:val="center"/>
        <w:rPr>
          <w:b/>
          <w:sz w:val="48"/>
        </w:rPr>
      </w:pPr>
      <w:bookmarkStart w:id="1" w:name="_Toc123112222"/>
      <w:bookmarkStart w:id="2" w:name="_Toc123112261"/>
      <w:bookmarkStart w:id="3" w:name="_Toc123701381"/>
      <w:bookmarkStart w:id="4" w:name="_Toc139991724"/>
      <w:bookmarkStart w:id="5" w:name="_Toc139992299"/>
      <w:r>
        <w:rPr>
          <w:rFonts w:hint="eastAsia"/>
          <w:b/>
          <w:sz w:val="48"/>
        </w:rPr>
        <w:t>浙商聚潮灵活配置</w:t>
      </w:r>
      <w:r>
        <w:rPr>
          <w:b/>
          <w:sz w:val="48"/>
        </w:rPr>
        <w:t>混合型证券投资基金</w:t>
      </w:r>
      <w:bookmarkEnd w:id="1"/>
      <w:bookmarkEnd w:id="2"/>
      <w:bookmarkEnd w:id="3"/>
      <w:bookmarkEnd w:id="4"/>
      <w:bookmarkEnd w:id="5"/>
    </w:p>
    <w:p w14:paraId="24EDFED9" w14:textId="77777777" w:rsidR="00DD2567" w:rsidRDefault="00485EEA">
      <w:pPr>
        <w:jc w:val="center"/>
        <w:rPr>
          <w:b/>
          <w:sz w:val="48"/>
        </w:rPr>
      </w:pPr>
      <w:r>
        <w:rPr>
          <w:rFonts w:hint="eastAsia"/>
          <w:b/>
          <w:sz w:val="48"/>
        </w:rPr>
        <w:t>更新</w:t>
      </w:r>
      <w:r w:rsidR="00680E4C">
        <w:rPr>
          <w:rFonts w:hint="eastAsia"/>
          <w:b/>
          <w:sz w:val="48"/>
        </w:rPr>
        <w:t>招募说明书</w:t>
      </w:r>
    </w:p>
    <w:p w14:paraId="59568D5E" w14:textId="5CE3F260" w:rsidR="00DD2567" w:rsidRDefault="00485EEA">
      <w:pPr>
        <w:jc w:val="center"/>
        <w:rPr>
          <w:b/>
          <w:sz w:val="52"/>
        </w:rPr>
      </w:pPr>
      <w:r>
        <w:rPr>
          <w:rFonts w:hint="eastAsia"/>
          <w:b/>
          <w:sz w:val="52"/>
        </w:rPr>
        <w:t>（</w:t>
      </w:r>
      <w:r>
        <w:rPr>
          <w:rFonts w:hint="eastAsia"/>
          <w:b/>
          <w:sz w:val="52"/>
        </w:rPr>
        <w:t>2016</w:t>
      </w:r>
      <w:r>
        <w:rPr>
          <w:rFonts w:hint="eastAsia"/>
          <w:b/>
          <w:sz w:val="52"/>
        </w:rPr>
        <w:t>年第</w:t>
      </w:r>
      <w:r w:rsidR="00032E62">
        <w:rPr>
          <w:rFonts w:hint="eastAsia"/>
          <w:b/>
          <w:sz w:val="52"/>
        </w:rPr>
        <w:t>1</w:t>
      </w:r>
      <w:r>
        <w:rPr>
          <w:rFonts w:hint="eastAsia"/>
          <w:b/>
          <w:sz w:val="52"/>
        </w:rPr>
        <w:t>期）</w:t>
      </w:r>
    </w:p>
    <w:p w14:paraId="687A3460" w14:textId="77777777" w:rsidR="00DD2567" w:rsidRDefault="00DD2567">
      <w:pPr>
        <w:jc w:val="center"/>
        <w:rPr>
          <w:b/>
          <w:sz w:val="52"/>
        </w:rPr>
      </w:pPr>
    </w:p>
    <w:p w14:paraId="33382FED" w14:textId="77777777" w:rsidR="00DD2567" w:rsidRDefault="00DD2567">
      <w:pPr>
        <w:jc w:val="center"/>
        <w:rPr>
          <w:b/>
          <w:sz w:val="52"/>
        </w:rPr>
      </w:pPr>
    </w:p>
    <w:p w14:paraId="0D9363E7" w14:textId="77777777" w:rsidR="00DD2567" w:rsidRDefault="00DD2567">
      <w:pPr>
        <w:jc w:val="center"/>
        <w:rPr>
          <w:b/>
          <w:sz w:val="52"/>
        </w:rPr>
      </w:pPr>
    </w:p>
    <w:p w14:paraId="6A6C4F5C" w14:textId="77777777" w:rsidR="00DD2567" w:rsidRDefault="00DD2567">
      <w:pPr>
        <w:jc w:val="center"/>
        <w:rPr>
          <w:b/>
          <w:sz w:val="52"/>
        </w:rPr>
      </w:pPr>
    </w:p>
    <w:p w14:paraId="582D7056" w14:textId="77777777" w:rsidR="00DD2567" w:rsidRPr="00B70474" w:rsidRDefault="00DD2567">
      <w:pPr>
        <w:jc w:val="center"/>
        <w:rPr>
          <w:b/>
          <w:sz w:val="52"/>
        </w:rPr>
      </w:pPr>
    </w:p>
    <w:p w14:paraId="623B6D01" w14:textId="77777777" w:rsidR="00DD2567" w:rsidRDefault="00680E4C">
      <w:pPr>
        <w:jc w:val="center"/>
        <w:rPr>
          <w:b/>
          <w:sz w:val="36"/>
        </w:rPr>
      </w:pPr>
      <w:bookmarkStart w:id="6" w:name="_Toc139992301"/>
      <w:bookmarkStart w:id="7" w:name="_Toc139991726"/>
      <w:bookmarkStart w:id="8" w:name="_Toc123701383"/>
      <w:bookmarkStart w:id="9" w:name="_Toc123112263"/>
      <w:bookmarkStart w:id="10" w:name="_Toc123112224"/>
      <w:r>
        <w:rPr>
          <w:b/>
          <w:sz w:val="36"/>
        </w:rPr>
        <w:t>基金管理人：</w:t>
      </w:r>
      <w:bookmarkEnd w:id="6"/>
      <w:bookmarkEnd w:id="7"/>
      <w:bookmarkEnd w:id="8"/>
      <w:bookmarkEnd w:id="9"/>
      <w:bookmarkEnd w:id="10"/>
      <w:r>
        <w:rPr>
          <w:rFonts w:hint="eastAsia"/>
          <w:b/>
          <w:sz w:val="36"/>
        </w:rPr>
        <w:t>浙商基金管理有限公司</w:t>
      </w:r>
    </w:p>
    <w:p w14:paraId="1CD1B06F" w14:textId="77777777" w:rsidR="00DD2567" w:rsidRDefault="00680E4C">
      <w:pPr>
        <w:jc w:val="center"/>
        <w:rPr>
          <w:b/>
          <w:sz w:val="36"/>
        </w:rPr>
      </w:pPr>
      <w:bookmarkStart w:id="11" w:name="_Toc123112225"/>
      <w:bookmarkStart w:id="12" w:name="_Toc123112264"/>
      <w:bookmarkStart w:id="13" w:name="_Toc123701384"/>
      <w:bookmarkStart w:id="14" w:name="_Toc139991727"/>
      <w:bookmarkStart w:id="15" w:name="_Toc139992302"/>
      <w:r>
        <w:rPr>
          <w:b/>
          <w:sz w:val="36"/>
        </w:rPr>
        <w:t>基金托管人：</w:t>
      </w:r>
      <w:r>
        <w:rPr>
          <w:rFonts w:hint="eastAsia"/>
          <w:b/>
          <w:sz w:val="36"/>
        </w:rPr>
        <w:t>交通银行股份有限公司</w:t>
      </w:r>
      <w:bookmarkEnd w:id="11"/>
      <w:bookmarkEnd w:id="12"/>
      <w:bookmarkEnd w:id="13"/>
      <w:bookmarkEnd w:id="14"/>
      <w:bookmarkEnd w:id="15"/>
    </w:p>
    <w:p w14:paraId="336A4979" w14:textId="77777777" w:rsidR="00DD2567" w:rsidRDefault="00DD2567">
      <w:pPr>
        <w:jc w:val="center"/>
        <w:rPr>
          <w:bCs/>
          <w:sz w:val="32"/>
        </w:rPr>
      </w:pPr>
    </w:p>
    <w:p w14:paraId="0F9174D0" w14:textId="77777777" w:rsidR="00DD2567" w:rsidRDefault="00DD2567">
      <w:pPr>
        <w:jc w:val="center"/>
        <w:rPr>
          <w:bCs/>
          <w:sz w:val="28"/>
        </w:rPr>
      </w:pPr>
      <w:bookmarkStart w:id="16" w:name="_Toc123112227"/>
      <w:bookmarkStart w:id="17" w:name="_Toc123112266"/>
      <w:bookmarkStart w:id="18" w:name="_Toc123701386"/>
      <w:bookmarkStart w:id="19" w:name="_Toc139991729"/>
    </w:p>
    <w:p w14:paraId="5A3AF879" w14:textId="77777777" w:rsidR="00DD2567" w:rsidRDefault="00DD2567">
      <w:pPr>
        <w:jc w:val="center"/>
        <w:rPr>
          <w:bCs/>
          <w:sz w:val="28"/>
        </w:rPr>
      </w:pPr>
    </w:p>
    <w:p w14:paraId="235B1A8B" w14:textId="77777777" w:rsidR="00DD2567" w:rsidRDefault="00680E4C">
      <w:pPr>
        <w:widowControl/>
        <w:spacing w:line="672" w:lineRule="auto"/>
        <w:jc w:val="center"/>
        <w:rPr>
          <w:b/>
          <w:kern w:val="0"/>
          <w:sz w:val="30"/>
          <w:szCs w:val="30"/>
        </w:rPr>
      </w:pPr>
      <w:r>
        <w:rPr>
          <w:rFonts w:hint="eastAsia"/>
          <w:b/>
          <w:kern w:val="0"/>
          <w:sz w:val="30"/>
          <w:szCs w:val="30"/>
        </w:rPr>
        <w:lastRenderedPageBreak/>
        <w:t>重要提示</w:t>
      </w:r>
    </w:p>
    <w:p w14:paraId="7915FF24" w14:textId="4A1B982A" w:rsidR="00DD2567" w:rsidRDefault="00680E4C">
      <w:pPr>
        <w:snapToGrid w:val="0"/>
        <w:spacing w:line="336" w:lineRule="auto"/>
        <w:ind w:firstLine="540"/>
        <w:rPr>
          <w:rFonts w:ascii="宋体" w:hAnsi="宋体"/>
          <w:sz w:val="24"/>
        </w:rPr>
      </w:pPr>
      <w:r>
        <w:rPr>
          <w:rFonts w:ascii="宋体" w:hAnsi="宋体" w:hint="eastAsia"/>
          <w:color w:val="000000"/>
          <w:sz w:val="24"/>
        </w:rPr>
        <w:t>本基金的募集申请</w:t>
      </w:r>
      <w:r>
        <w:rPr>
          <w:rFonts w:ascii="宋体" w:hAnsi="宋体" w:cs="宋体" w:hint="eastAsia"/>
          <w:color w:val="000000"/>
          <w:sz w:val="24"/>
        </w:rPr>
        <w:t>于年月日</w:t>
      </w:r>
      <w:r>
        <w:rPr>
          <w:rFonts w:ascii="宋体" w:hAnsi="宋体" w:hint="eastAsia"/>
          <w:sz w:val="24"/>
        </w:rPr>
        <w:t>经中国证监会证监许可【</w:t>
      </w:r>
      <w:r w:rsidR="00485EEA">
        <w:rPr>
          <w:rFonts w:ascii="宋体" w:hAnsi="宋体" w:hint="eastAsia"/>
          <w:sz w:val="24"/>
        </w:rPr>
        <w:t>2015</w:t>
      </w:r>
      <w:r>
        <w:rPr>
          <w:rFonts w:ascii="宋体" w:hAnsi="宋体" w:hint="eastAsia"/>
          <w:sz w:val="24"/>
        </w:rPr>
        <w:t>】</w:t>
      </w:r>
      <w:r w:rsidR="00485EEA">
        <w:rPr>
          <w:rFonts w:ascii="宋体" w:hAnsi="宋体" w:hint="eastAsia"/>
          <w:sz w:val="24"/>
        </w:rPr>
        <w:t>1578号</w:t>
      </w:r>
      <w:r>
        <w:rPr>
          <w:rFonts w:ascii="宋体" w:hAnsi="宋体" w:hint="eastAsia"/>
          <w:sz w:val="24"/>
        </w:rPr>
        <w:t>文准予募集注册。</w:t>
      </w:r>
    </w:p>
    <w:p w14:paraId="5BE9EE34" w14:textId="77777777" w:rsidR="00DD2567" w:rsidRDefault="00680E4C">
      <w:pPr>
        <w:snapToGrid w:val="0"/>
        <w:spacing w:line="336" w:lineRule="auto"/>
        <w:ind w:firstLine="540"/>
        <w:rPr>
          <w:rFonts w:ascii="宋体" w:hAnsi="宋体"/>
          <w:sz w:val="24"/>
        </w:rPr>
      </w:pPr>
      <w:r>
        <w:rPr>
          <w:rFonts w:ascii="宋体" w:hAnsi="宋体" w:hint="eastAsia"/>
          <w:sz w:val="24"/>
        </w:rPr>
        <w:t>基金管理人保证本招募说明书的内容真实、准确、完整。</w:t>
      </w:r>
      <w:r>
        <w:rPr>
          <w:rFonts w:ascii="宋体" w:hAnsi="宋体"/>
          <w:sz w:val="24"/>
        </w:rPr>
        <w:t>本招募说明书经中国证监会注册，但</w:t>
      </w:r>
      <w:r>
        <w:rPr>
          <w:rFonts w:ascii="宋体" w:hAnsi="宋体" w:hint="eastAsia"/>
          <w:sz w:val="24"/>
        </w:rPr>
        <w:t>中国证监会对本基金募集的注册，并不表明其对本基金的</w:t>
      </w:r>
      <w:r>
        <w:rPr>
          <w:rFonts w:ascii="宋体" w:hAnsi="宋体" w:hint="eastAsia"/>
          <w:bCs/>
          <w:sz w:val="24"/>
        </w:rPr>
        <w:t>投资</w:t>
      </w:r>
      <w:r>
        <w:rPr>
          <w:rFonts w:ascii="宋体" w:hAnsi="宋体" w:hint="eastAsia"/>
          <w:sz w:val="24"/>
        </w:rPr>
        <w:t>价值、收益</w:t>
      </w:r>
      <w:r>
        <w:rPr>
          <w:rFonts w:ascii="宋体" w:hAnsi="宋体" w:hint="eastAsia"/>
          <w:bCs/>
          <w:sz w:val="24"/>
        </w:rPr>
        <w:t>和市场前景</w:t>
      </w:r>
      <w:r>
        <w:rPr>
          <w:rFonts w:ascii="宋体" w:hAnsi="宋体" w:hint="eastAsia"/>
          <w:sz w:val="24"/>
        </w:rPr>
        <w:t>作出实质性判断或保证，也不表明投资于本基金没有风险。</w:t>
      </w:r>
    </w:p>
    <w:p w14:paraId="386430E9" w14:textId="77777777" w:rsidR="00DD2567" w:rsidRDefault="00680E4C">
      <w:pPr>
        <w:snapToGrid w:val="0"/>
        <w:spacing w:line="336" w:lineRule="auto"/>
        <w:ind w:firstLine="540"/>
        <w:rPr>
          <w:rFonts w:ascii="宋体" w:hAnsi="宋体"/>
          <w:bCs/>
          <w:sz w:val="24"/>
        </w:rPr>
      </w:pPr>
      <w:r>
        <w:rPr>
          <w:rFonts w:ascii="宋体" w:hAnsi="宋体" w:cs="宋体" w:hint="eastAsia"/>
          <w:color w:val="000000"/>
          <w:sz w:val="24"/>
        </w:rPr>
        <w:t>投资有风险，投资人认购（或申购）本基金时应认真阅读本招募说明书，</w:t>
      </w:r>
      <w:r>
        <w:rPr>
          <w:rFonts w:ascii="宋体" w:hAnsi="宋体" w:hint="eastAsia"/>
          <w:sz w:val="24"/>
        </w:rPr>
        <w:t>全面了解本基金的风险收益特征和产品特性，充分考虑自身的风险承受能力，理性判断市场，对认购（或申购）基金的意愿、时机、数量等投资行为作出独立决策。基金投资人根据所持有的份额享受基金的收益，但同时也需承担相应的投资风险。本基金投资于证券市场，基金份额净值会因为证券市场波动等因素产生波动，投资人根据所持有份额享受基金的收益，但同时也要承担相应的投资风险。基金投资中的风险包括：因政治、经济、社会等环境因素对证券价格产生影响而形成的系统性风险；个别证券特有的非系统性风险；基金管理人在基金管理实施过程中产生的基金管理风险；估值风险；由于基金投资者连续大量赎回基金产生的流动性风险；由于</w:t>
      </w:r>
      <w:r>
        <w:rPr>
          <w:rFonts w:ascii="宋体" w:hAnsi="宋体" w:hint="eastAsia"/>
          <w:bCs/>
          <w:sz w:val="24"/>
        </w:rPr>
        <w:t>经济周期判断的错误、大类资产配置策略的失误、无法准确把握行业轮动节奏、上市公司分析错误与个股投资机会判断失误等产生的</w:t>
      </w:r>
      <w:r>
        <w:rPr>
          <w:rFonts w:ascii="宋体" w:hAnsi="宋体" w:hint="eastAsia"/>
          <w:sz w:val="24"/>
        </w:rPr>
        <w:t>本基金的特定风险</w:t>
      </w:r>
      <w:r>
        <w:rPr>
          <w:rFonts w:ascii="宋体" w:hAnsi="宋体" w:hint="eastAsia"/>
          <w:bCs/>
          <w:sz w:val="24"/>
        </w:rPr>
        <w:t>；</w:t>
      </w:r>
      <w:r>
        <w:rPr>
          <w:rFonts w:ascii="宋体" w:hAnsi="宋体" w:hint="eastAsia"/>
          <w:sz w:val="24"/>
        </w:rPr>
        <w:t>本基金投资于中小企业私募债券，可能会因发债主体违约产生信用风险，或无法及时转让产生流动性风险等。</w:t>
      </w:r>
    </w:p>
    <w:p w14:paraId="76B52352" w14:textId="77777777" w:rsidR="00DD2567" w:rsidRDefault="00680E4C">
      <w:pPr>
        <w:snapToGrid w:val="0"/>
        <w:spacing w:line="336" w:lineRule="auto"/>
        <w:ind w:firstLine="540"/>
        <w:rPr>
          <w:rFonts w:ascii="宋体" w:hAnsi="宋体"/>
          <w:sz w:val="24"/>
        </w:rPr>
      </w:pPr>
      <w:r>
        <w:rPr>
          <w:rFonts w:ascii="宋体" w:hAnsi="宋体" w:hint="eastAsia"/>
          <w:sz w:val="24"/>
        </w:rPr>
        <w:t>本基金为主动投资的混合型基金，其预期风险和收益高于债券型基金、货币市场基金，但低于股票型基金，属于证券投资基金中的中高风险、中高收益品种。</w:t>
      </w:r>
    </w:p>
    <w:p w14:paraId="1E190856" w14:textId="77777777" w:rsidR="00DD2567" w:rsidRDefault="00680E4C">
      <w:pPr>
        <w:snapToGrid w:val="0"/>
        <w:spacing w:line="336" w:lineRule="auto"/>
        <w:ind w:firstLine="540"/>
        <w:rPr>
          <w:rFonts w:ascii="宋体" w:hAnsi="宋体"/>
          <w:sz w:val="24"/>
        </w:rPr>
      </w:pPr>
      <w:r>
        <w:rPr>
          <w:rFonts w:ascii="宋体" w:hAnsi="宋体" w:hint="eastAsia"/>
          <w:sz w:val="24"/>
        </w:rPr>
        <w:t>基金管理人建议基金投资人根据自身的风险收益偏好，选择适合自己的基金产品，并且中长期持有。</w:t>
      </w:r>
    </w:p>
    <w:p w14:paraId="41619559" w14:textId="77777777" w:rsidR="00DD2567" w:rsidRDefault="00680E4C">
      <w:pPr>
        <w:snapToGrid w:val="0"/>
        <w:spacing w:line="336" w:lineRule="auto"/>
        <w:ind w:firstLineChars="200" w:firstLine="480"/>
        <w:rPr>
          <w:rFonts w:ascii="宋体" w:cs="宋体"/>
          <w:color w:val="000000"/>
          <w:sz w:val="24"/>
        </w:rPr>
      </w:pPr>
      <w:r>
        <w:rPr>
          <w:rFonts w:ascii="宋体" w:hAnsi="宋体" w:cs="宋体" w:hint="eastAsia"/>
          <w:color w:val="000000"/>
          <w:sz w:val="24"/>
        </w:rPr>
        <w:t>投资有风险，投资人认购（或申购）本基金时应认真阅读本招募说明书。</w:t>
      </w:r>
      <w:r>
        <w:rPr>
          <w:rFonts w:ascii="宋体" w:hAnsi="宋体" w:hint="eastAsia"/>
          <w:color w:val="000000"/>
          <w:sz w:val="24"/>
        </w:rPr>
        <w:t>基金的过往业绩并不预示其未来表现。</w:t>
      </w:r>
      <w:r>
        <w:rPr>
          <w:rFonts w:ascii="宋体" w:hAnsi="宋体" w:cs="宋体" w:hint="eastAsia"/>
          <w:kern w:val="0"/>
          <w:sz w:val="24"/>
        </w:rPr>
        <w:t>基金管理人管理的其他基金的业绩并不构成新基金业绩表现的保证。</w:t>
      </w:r>
    </w:p>
    <w:p w14:paraId="57AB4375" w14:textId="77777777" w:rsidR="00DD2567" w:rsidRDefault="00680E4C">
      <w:pPr>
        <w:snapToGrid w:val="0"/>
        <w:spacing w:line="336" w:lineRule="auto"/>
        <w:ind w:firstLine="540"/>
        <w:rPr>
          <w:rFonts w:ascii="宋体" w:hAnsi="宋体"/>
          <w:sz w:val="24"/>
        </w:rPr>
      </w:pPr>
      <w:r>
        <w:rPr>
          <w:rFonts w:ascii="宋体" w:hAnsi="宋体" w:hint="eastAsia"/>
          <w:sz w:val="24"/>
        </w:rPr>
        <w:t>基金管理人依照恪尽职守、诚实信用、谨慎勤勉的原则管理和运用基金财产，但不保证本基金一定盈利，也不保证最低收益。基金管理人提醒投资人基金投资的“买者自负”原则，在投资人作出投资决策后，基金运营状况与基金净值变化引致的投资风险，由投资人自行承担。</w:t>
      </w:r>
    </w:p>
    <w:p w14:paraId="6047CE52" w14:textId="77777777" w:rsidR="00485EEA" w:rsidRPr="00C6511B" w:rsidRDefault="00485EEA" w:rsidP="00485EEA">
      <w:pPr>
        <w:snapToGrid w:val="0"/>
        <w:spacing w:line="336" w:lineRule="auto"/>
        <w:ind w:firstLine="540"/>
        <w:rPr>
          <w:bCs/>
          <w:sz w:val="24"/>
          <w:szCs w:val="24"/>
        </w:rPr>
      </w:pPr>
      <w:r w:rsidRPr="00C6511B">
        <w:rPr>
          <w:rFonts w:ascii="宋体" w:hAnsi="宋体" w:hint="eastAsia"/>
          <w:sz w:val="24"/>
          <w:szCs w:val="24"/>
        </w:rPr>
        <w:t>本次招募说明书的更新内容中与托管相关的信息已经本基金托管人复核。</w:t>
      </w:r>
      <w:r w:rsidRPr="00C6511B">
        <w:rPr>
          <w:rFonts w:ascii="宋体" w:hAnsi="宋体" w:hint="eastAsia"/>
          <w:sz w:val="24"/>
          <w:szCs w:val="24"/>
        </w:rPr>
        <w:lastRenderedPageBreak/>
        <w:t>所载内容截止日为</w:t>
      </w:r>
      <w:r w:rsidRPr="00C6511B">
        <w:rPr>
          <w:rFonts w:ascii="宋体" w:hAnsi="宋体"/>
          <w:sz w:val="24"/>
          <w:szCs w:val="24"/>
        </w:rPr>
        <w:t>201</w:t>
      </w:r>
      <w:r>
        <w:rPr>
          <w:rFonts w:ascii="宋体" w:hAnsi="宋体" w:hint="eastAsia"/>
          <w:sz w:val="24"/>
          <w:szCs w:val="24"/>
        </w:rPr>
        <w:t>6</w:t>
      </w:r>
      <w:r w:rsidRPr="00C6511B">
        <w:rPr>
          <w:rFonts w:ascii="宋体" w:hAnsi="宋体"/>
          <w:sz w:val="24"/>
          <w:szCs w:val="24"/>
        </w:rPr>
        <w:t>年</w:t>
      </w:r>
      <w:r>
        <w:rPr>
          <w:rFonts w:ascii="宋体" w:hAnsi="宋体" w:hint="eastAsia"/>
          <w:sz w:val="24"/>
          <w:szCs w:val="24"/>
        </w:rPr>
        <w:t>11</w:t>
      </w:r>
      <w:r w:rsidRPr="00C6511B">
        <w:rPr>
          <w:rFonts w:ascii="宋体" w:hAnsi="宋体"/>
          <w:sz w:val="24"/>
          <w:szCs w:val="24"/>
        </w:rPr>
        <w:t>月</w:t>
      </w:r>
      <w:r>
        <w:rPr>
          <w:rFonts w:ascii="宋体" w:hAnsi="宋体"/>
          <w:sz w:val="24"/>
          <w:szCs w:val="24"/>
        </w:rPr>
        <w:t>11</w:t>
      </w:r>
      <w:r w:rsidRPr="00C6511B">
        <w:rPr>
          <w:rFonts w:ascii="宋体" w:hAnsi="宋体" w:hint="eastAsia"/>
          <w:sz w:val="24"/>
          <w:szCs w:val="24"/>
        </w:rPr>
        <w:t>日，投资组合报告为</w:t>
      </w:r>
      <w:r w:rsidRPr="00C6511B">
        <w:rPr>
          <w:rFonts w:ascii="宋体" w:hAnsi="宋体"/>
          <w:sz w:val="24"/>
          <w:szCs w:val="24"/>
        </w:rPr>
        <w:t>201</w:t>
      </w:r>
      <w:r>
        <w:rPr>
          <w:rFonts w:ascii="宋体" w:hAnsi="宋体" w:hint="eastAsia"/>
          <w:sz w:val="24"/>
          <w:szCs w:val="24"/>
        </w:rPr>
        <w:t>6</w:t>
      </w:r>
      <w:r w:rsidRPr="00C6511B">
        <w:rPr>
          <w:rFonts w:ascii="宋体" w:hAnsi="宋体"/>
          <w:sz w:val="24"/>
          <w:szCs w:val="24"/>
        </w:rPr>
        <w:t>年</w:t>
      </w:r>
      <w:r>
        <w:rPr>
          <w:rFonts w:ascii="宋体" w:hAnsi="宋体"/>
          <w:sz w:val="24"/>
          <w:szCs w:val="24"/>
        </w:rPr>
        <w:t>3</w:t>
      </w:r>
      <w:r w:rsidRPr="00C6511B">
        <w:rPr>
          <w:rFonts w:ascii="宋体" w:hAnsi="宋体"/>
          <w:sz w:val="24"/>
          <w:szCs w:val="24"/>
        </w:rPr>
        <w:t>季度报告，有关财务数据和净值表现截止日为201</w:t>
      </w:r>
      <w:r>
        <w:rPr>
          <w:rFonts w:ascii="宋体" w:hAnsi="宋体" w:hint="eastAsia"/>
          <w:sz w:val="24"/>
          <w:szCs w:val="24"/>
        </w:rPr>
        <w:t>6</w:t>
      </w:r>
      <w:r w:rsidRPr="00C6511B">
        <w:rPr>
          <w:rFonts w:ascii="宋体" w:hAnsi="宋体"/>
          <w:sz w:val="24"/>
          <w:szCs w:val="24"/>
        </w:rPr>
        <w:t>年</w:t>
      </w:r>
      <w:r>
        <w:rPr>
          <w:rFonts w:ascii="宋体" w:hAnsi="宋体" w:hint="eastAsia"/>
          <w:sz w:val="24"/>
          <w:szCs w:val="24"/>
        </w:rPr>
        <w:t>9</w:t>
      </w:r>
      <w:r w:rsidRPr="00C6511B">
        <w:rPr>
          <w:rFonts w:ascii="宋体" w:hAnsi="宋体"/>
          <w:sz w:val="24"/>
          <w:szCs w:val="24"/>
        </w:rPr>
        <w:t>月3</w:t>
      </w:r>
      <w:r>
        <w:rPr>
          <w:rFonts w:ascii="宋体" w:hAnsi="宋体" w:hint="eastAsia"/>
          <w:sz w:val="24"/>
          <w:szCs w:val="24"/>
        </w:rPr>
        <w:t>0</w:t>
      </w:r>
      <w:r w:rsidRPr="00C6511B">
        <w:rPr>
          <w:rFonts w:ascii="宋体" w:hAnsi="宋体"/>
          <w:sz w:val="24"/>
          <w:szCs w:val="24"/>
        </w:rPr>
        <w:t>日（财务数据未经审计）。</w:t>
      </w:r>
    </w:p>
    <w:p w14:paraId="3DC3126E" w14:textId="77777777" w:rsidR="00485EEA" w:rsidRPr="00690813" w:rsidRDefault="00485EEA">
      <w:pPr>
        <w:snapToGrid w:val="0"/>
        <w:spacing w:line="336" w:lineRule="auto"/>
        <w:ind w:firstLine="540"/>
        <w:rPr>
          <w:bCs/>
          <w:sz w:val="28"/>
        </w:rPr>
      </w:pPr>
    </w:p>
    <w:p w14:paraId="7FA6DC5A" w14:textId="77777777" w:rsidR="00DD2567" w:rsidRDefault="00680E4C">
      <w:pPr>
        <w:jc w:val="center"/>
        <w:rPr>
          <w:bCs/>
          <w:sz w:val="28"/>
        </w:rPr>
      </w:pPr>
      <w:r>
        <w:rPr>
          <w:bCs/>
          <w:sz w:val="28"/>
        </w:rPr>
        <w:br w:type="page"/>
      </w:r>
      <w:r>
        <w:rPr>
          <w:bCs/>
          <w:sz w:val="28"/>
        </w:rPr>
        <w:lastRenderedPageBreak/>
        <w:t>目录</w:t>
      </w:r>
      <w:bookmarkEnd w:id="16"/>
      <w:bookmarkEnd w:id="17"/>
      <w:bookmarkEnd w:id="18"/>
      <w:bookmarkEnd w:id="19"/>
    </w:p>
    <w:p w14:paraId="3F605318" w14:textId="77777777" w:rsidR="00DD2567" w:rsidRDefault="00DD2567">
      <w:pPr>
        <w:jc w:val="center"/>
        <w:rPr>
          <w:bCs/>
          <w:sz w:val="28"/>
        </w:rPr>
      </w:pPr>
    </w:p>
    <w:p w14:paraId="6D6096DC" w14:textId="77777777" w:rsidR="00DD2567" w:rsidRDefault="004B4E0E">
      <w:pPr>
        <w:pStyle w:val="10"/>
        <w:rPr>
          <w:rFonts w:ascii="宋体" w:hAnsi="宋体"/>
          <w:b/>
          <w:noProof/>
          <w:sz w:val="24"/>
          <w:szCs w:val="24"/>
        </w:rPr>
      </w:pPr>
      <w:r>
        <w:rPr>
          <w:bCs/>
          <w:sz w:val="24"/>
        </w:rPr>
        <w:fldChar w:fldCharType="begin"/>
      </w:r>
      <w:r w:rsidR="00680E4C">
        <w:rPr>
          <w:bCs/>
          <w:sz w:val="24"/>
        </w:rPr>
        <w:instrText xml:space="preserve"> TOC \o "1-1" \h \z \u </w:instrText>
      </w:r>
      <w:r>
        <w:rPr>
          <w:bCs/>
          <w:sz w:val="24"/>
        </w:rPr>
        <w:fldChar w:fldCharType="separate"/>
      </w:r>
      <w:hyperlink w:anchor="_Toc342469890" w:history="1">
        <w:r w:rsidR="00680E4C">
          <w:rPr>
            <w:rStyle w:val="af0"/>
            <w:rFonts w:ascii="宋体" w:hAnsi="宋体" w:hint="eastAsia"/>
            <w:b/>
            <w:noProof/>
            <w:sz w:val="24"/>
            <w:szCs w:val="24"/>
          </w:rPr>
          <w:t>第一部分绪言</w:t>
        </w:r>
        <w:r w:rsidR="00680E4C">
          <w:rPr>
            <w:rFonts w:ascii="宋体" w:hAnsi="宋体"/>
            <w:b/>
            <w:noProof/>
            <w:sz w:val="24"/>
            <w:szCs w:val="24"/>
          </w:rPr>
          <w:tab/>
        </w:r>
        <w:r>
          <w:rPr>
            <w:rFonts w:ascii="宋体" w:hAnsi="宋体"/>
            <w:b/>
            <w:noProof/>
            <w:sz w:val="24"/>
            <w:szCs w:val="24"/>
          </w:rPr>
          <w:fldChar w:fldCharType="begin"/>
        </w:r>
        <w:r w:rsidR="00680E4C">
          <w:rPr>
            <w:rFonts w:ascii="宋体" w:hAnsi="宋体"/>
            <w:b/>
            <w:noProof/>
            <w:sz w:val="24"/>
            <w:szCs w:val="24"/>
          </w:rPr>
          <w:instrText xml:space="preserve"> PAGEREF _Toc342469890 \h </w:instrText>
        </w:r>
        <w:r>
          <w:rPr>
            <w:rFonts w:ascii="宋体" w:hAnsi="宋体"/>
            <w:b/>
            <w:noProof/>
            <w:sz w:val="24"/>
            <w:szCs w:val="24"/>
          </w:rPr>
        </w:r>
        <w:r>
          <w:rPr>
            <w:rFonts w:ascii="宋体" w:hAnsi="宋体"/>
            <w:b/>
            <w:noProof/>
            <w:sz w:val="24"/>
            <w:szCs w:val="24"/>
          </w:rPr>
          <w:fldChar w:fldCharType="separate"/>
        </w:r>
        <w:r w:rsidR="00097E08">
          <w:rPr>
            <w:rFonts w:ascii="宋体" w:hAnsi="宋体"/>
            <w:b/>
            <w:noProof/>
            <w:sz w:val="24"/>
            <w:szCs w:val="24"/>
          </w:rPr>
          <w:t>4</w:t>
        </w:r>
        <w:r>
          <w:rPr>
            <w:rFonts w:ascii="宋体" w:hAnsi="宋体"/>
            <w:b/>
            <w:noProof/>
            <w:sz w:val="24"/>
            <w:szCs w:val="24"/>
          </w:rPr>
          <w:fldChar w:fldCharType="end"/>
        </w:r>
      </w:hyperlink>
    </w:p>
    <w:p w14:paraId="2D885947" w14:textId="77777777" w:rsidR="00DD2567" w:rsidRDefault="008269F9">
      <w:pPr>
        <w:pStyle w:val="10"/>
        <w:rPr>
          <w:rFonts w:ascii="宋体" w:hAnsi="宋体"/>
          <w:b/>
          <w:noProof/>
          <w:sz w:val="24"/>
          <w:szCs w:val="24"/>
        </w:rPr>
      </w:pPr>
      <w:hyperlink w:anchor="_Toc342469891" w:history="1">
        <w:r w:rsidR="00680E4C">
          <w:rPr>
            <w:rStyle w:val="af0"/>
            <w:rFonts w:ascii="宋体" w:hAnsi="宋体" w:hint="eastAsia"/>
            <w:b/>
            <w:noProof/>
            <w:sz w:val="24"/>
            <w:szCs w:val="24"/>
          </w:rPr>
          <w:t>第二部分释义</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_Toc342469891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5</w:t>
        </w:r>
        <w:r w:rsidR="004B4E0E">
          <w:rPr>
            <w:rFonts w:ascii="宋体" w:hAnsi="宋体"/>
            <w:b/>
            <w:noProof/>
            <w:sz w:val="24"/>
            <w:szCs w:val="24"/>
          </w:rPr>
          <w:fldChar w:fldCharType="end"/>
        </w:r>
      </w:hyperlink>
    </w:p>
    <w:p w14:paraId="62D5CD3C" w14:textId="77777777" w:rsidR="00DD2567" w:rsidRDefault="008269F9">
      <w:pPr>
        <w:pStyle w:val="10"/>
        <w:rPr>
          <w:rFonts w:ascii="宋体" w:hAnsi="宋体"/>
          <w:b/>
          <w:noProof/>
          <w:sz w:val="24"/>
          <w:szCs w:val="24"/>
        </w:rPr>
      </w:pPr>
      <w:hyperlink w:anchor="_Toc342469892" w:history="1">
        <w:r w:rsidR="00680E4C">
          <w:rPr>
            <w:rStyle w:val="af0"/>
            <w:rFonts w:ascii="宋体" w:hAnsi="宋体" w:hint="eastAsia"/>
            <w:b/>
            <w:noProof/>
            <w:sz w:val="24"/>
            <w:szCs w:val="24"/>
          </w:rPr>
          <w:t>第三部分基金管理人</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_Toc342469892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9</w:t>
        </w:r>
        <w:r w:rsidR="004B4E0E">
          <w:rPr>
            <w:rFonts w:ascii="宋体" w:hAnsi="宋体"/>
            <w:b/>
            <w:noProof/>
            <w:sz w:val="24"/>
            <w:szCs w:val="24"/>
          </w:rPr>
          <w:fldChar w:fldCharType="end"/>
        </w:r>
      </w:hyperlink>
    </w:p>
    <w:p w14:paraId="3F2F6BD6" w14:textId="77777777" w:rsidR="00DD2567" w:rsidRDefault="008269F9">
      <w:pPr>
        <w:pStyle w:val="10"/>
        <w:rPr>
          <w:rFonts w:ascii="宋体" w:hAnsi="宋体"/>
          <w:b/>
          <w:noProof/>
          <w:sz w:val="24"/>
          <w:szCs w:val="24"/>
        </w:rPr>
      </w:pPr>
      <w:hyperlink w:anchor="_Toc342469893" w:history="1">
        <w:r w:rsidR="00680E4C">
          <w:rPr>
            <w:rStyle w:val="af0"/>
            <w:rFonts w:ascii="宋体" w:hAnsi="宋体" w:hint="eastAsia"/>
            <w:b/>
            <w:noProof/>
            <w:sz w:val="24"/>
            <w:szCs w:val="24"/>
          </w:rPr>
          <w:t>第四部分基金托管人</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_Toc342469893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18</w:t>
        </w:r>
        <w:r w:rsidR="004B4E0E">
          <w:rPr>
            <w:rFonts w:ascii="宋体" w:hAnsi="宋体"/>
            <w:b/>
            <w:noProof/>
            <w:sz w:val="24"/>
            <w:szCs w:val="24"/>
          </w:rPr>
          <w:fldChar w:fldCharType="end"/>
        </w:r>
      </w:hyperlink>
    </w:p>
    <w:p w14:paraId="1948BFF2" w14:textId="77777777" w:rsidR="00DD2567" w:rsidRDefault="008269F9">
      <w:pPr>
        <w:pStyle w:val="10"/>
        <w:rPr>
          <w:rFonts w:ascii="宋体" w:hAnsi="宋体"/>
          <w:b/>
          <w:noProof/>
          <w:sz w:val="24"/>
          <w:szCs w:val="24"/>
        </w:rPr>
      </w:pPr>
      <w:hyperlink w:anchor="_Toc342469894" w:history="1">
        <w:r w:rsidR="00680E4C">
          <w:rPr>
            <w:rStyle w:val="af0"/>
            <w:rFonts w:ascii="宋体" w:hAnsi="宋体" w:hint="eastAsia"/>
            <w:b/>
            <w:noProof/>
            <w:sz w:val="24"/>
            <w:szCs w:val="24"/>
          </w:rPr>
          <w:t>第五部分相关服务机构</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_Toc342469894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22</w:t>
        </w:r>
        <w:r w:rsidR="004B4E0E">
          <w:rPr>
            <w:rFonts w:ascii="宋体" w:hAnsi="宋体"/>
            <w:b/>
            <w:noProof/>
            <w:sz w:val="24"/>
            <w:szCs w:val="24"/>
          </w:rPr>
          <w:fldChar w:fldCharType="end"/>
        </w:r>
      </w:hyperlink>
    </w:p>
    <w:p w14:paraId="16F85A2B" w14:textId="77777777" w:rsidR="00DD2567" w:rsidRDefault="008269F9">
      <w:pPr>
        <w:pStyle w:val="10"/>
        <w:rPr>
          <w:rFonts w:ascii="宋体" w:hAnsi="宋体"/>
          <w:b/>
          <w:noProof/>
          <w:sz w:val="24"/>
          <w:szCs w:val="24"/>
        </w:rPr>
      </w:pPr>
      <w:hyperlink w:anchor="_Toc342469895" w:history="1">
        <w:r w:rsidR="00680E4C">
          <w:rPr>
            <w:rStyle w:val="af0"/>
            <w:rFonts w:ascii="宋体" w:hAnsi="宋体" w:hint="eastAsia"/>
            <w:b/>
            <w:noProof/>
            <w:sz w:val="24"/>
            <w:szCs w:val="24"/>
          </w:rPr>
          <w:t>第六部分基金的募集</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_Toc342469895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24</w:t>
        </w:r>
        <w:r w:rsidR="004B4E0E">
          <w:rPr>
            <w:rFonts w:ascii="宋体" w:hAnsi="宋体"/>
            <w:b/>
            <w:noProof/>
            <w:sz w:val="24"/>
            <w:szCs w:val="24"/>
          </w:rPr>
          <w:fldChar w:fldCharType="end"/>
        </w:r>
      </w:hyperlink>
    </w:p>
    <w:p w14:paraId="50A7E063" w14:textId="77777777" w:rsidR="00DD2567" w:rsidRDefault="008269F9">
      <w:pPr>
        <w:pStyle w:val="10"/>
        <w:rPr>
          <w:rFonts w:ascii="宋体" w:hAnsi="宋体"/>
          <w:b/>
          <w:noProof/>
          <w:sz w:val="24"/>
          <w:szCs w:val="24"/>
        </w:rPr>
      </w:pPr>
      <w:hyperlink w:anchor="_Toc342469896" w:history="1">
        <w:r w:rsidR="00680E4C">
          <w:rPr>
            <w:rStyle w:val="af0"/>
            <w:rFonts w:ascii="宋体" w:hAnsi="宋体" w:hint="eastAsia"/>
            <w:b/>
            <w:noProof/>
            <w:sz w:val="24"/>
            <w:szCs w:val="24"/>
          </w:rPr>
          <w:t>第七部分基金合同的生效</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_Toc342469896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27</w:t>
        </w:r>
        <w:r w:rsidR="004B4E0E">
          <w:rPr>
            <w:rFonts w:ascii="宋体" w:hAnsi="宋体"/>
            <w:b/>
            <w:noProof/>
            <w:sz w:val="24"/>
            <w:szCs w:val="24"/>
          </w:rPr>
          <w:fldChar w:fldCharType="end"/>
        </w:r>
      </w:hyperlink>
    </w:p>
    <w:p w14:paraId="53581BB7" w14:textId="77777777" w:rsidR="00DD2567" w:rsidRDefault="008269F9">
      <w:pPr>
        <w:pStyle w:val="10"/>
        <w:rPr>
          <w:rFonts w:ascii="宋体" w:hAnsi="宋体"/>
          <w:b/>
          <w:noProof/>
          <w:sz w:val="24"/>
          <w:szCs w:val="24"/>
        </w:rPr>
      </w:pPr>
      <w:hyperlink w:anchor="_Toc342469897" w:history="1">
        <w:r w:rsidR="00680E4C">
          <w:rPr>
            <w:rStyle w:val="af0"/>
            <w:rFonts w:ascii="宋体" w:hAnsi="宋体" w:hint="eastAsia"/>
            <w:b/>
            <w:noProof/>
            <w:sz w:val="24"/>
            <w:szCs w:val="24"/>
          </w:rPr>
          <w:t>第八部分基金份额的申购与赎回</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_Toc342469897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29</w:t>
        </w:r>
        <w:r w:rsidR="004B4E0E">
          <w:rPr>
            <w:rFonts w:ascii="宋体" w:hAnsi="宋体"/>
            <w:b/>
            <w:noProof/>
            <w:sz w:val="24"/>
            <w:szCs w:val="24"/>
          </w:rPr>
          <w:fldChar w:fldCharType="end"/>
        </w:r>
      </w:hyperlink>
    </w:p>
    <w:p w14:paraId="762C2EF1" w14:textId="77777777" w:rsidR="00DD2567" w:rsidRDefault="008269F9">
      <w:pPr>
        <w:pStyle w:val="10"/>
        <w:rPr>
          <w:rFonts w:ascii="宋体" w:hAnsi="宋体"/>
          <w:b/>
          <w:noProof/>
          <w:sz w:val="24"/>
          <w:szCs w:val="24"/>
        </w:rPr>
      </w:pPr>
      <w:hyperlink w:anchor="_Toc342469898" w:history="1">
        <w:r w:rsidR="00680E4C">
          <w:rPr>
            <w:rStyle w:val="af0"/>
            <w:rFonts w:ascii="宋体" w:hAnsi="宋体" w:hint="eastAsia"/>
            <w:b/>
            <w:noProof/>
            <w:sz w:val="24"/>
            <w:szCs w:val="24"/>
          </w:rPr>
          <w:t>第九部分基金的投资</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_Toc342469898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38</w:t>
        </w:r>
        <w:r w:rsidR="004B4E0E">
          <w:rPr>
            <w:rFonts w:ascii="宋体" w:hAnsi="宋体"/>
            <w:b/>
            <w:noProof/>
            <w:sz w:val="24"/>
            <w:szCs w:val="24"/>
          </w:rPr>
          <w:fldChar w:fldCharType="end"/>
        </w:r>
      </w:hyperlink>
    </w:p>
    <w:p w14:paraId="1811D03C" w14:textId="77777777" w:rsidR="00DD2567" w:rsidRDefault="008269F9">
      <w:pPr>
        <w:pStyle w:val="10"/>
        <w:rPr>
          <w:rFonts w:ascii="宋体" w:hAnsi="宋体"/>
          <w:b/>
          <w:noProof/>
          <w:sz w:val="24"/>
          <w:szCs w:val="24"/>
        </w:rPr>
      </w:pPr>
      <w:hyperlink w:anchor="_Toc342469899" w:history="1">
        <w:r w:rsidR="00680E4C">
          <w:rPr>
            <w:rStyle w:val="af0"/>
            <w:rFonts w:ascii="宋体" w:hAnsi="宋体" w:hint="eastAsia"/>
            <w:b/>
            <w:noProof/>
            <w:sz w:val="24"/>
            <w:szCs w:val="24"/>
          </w:rPr>
          <w:t>第十部分基金的财产</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_Toc342469899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47</w:t>
        </w:r>
        <w:r w:rsidR="004B4E0E">
          <w:rPr>
            <w:rFonts w:ascii="宋体" w:hAnsi="宋体"/>
            <w:b/>
            <w:noProof/>
            <w:sz w:val="24"/>
            <w:szCs w:val="24"/>
          </w:rPr>
          <w:fldChar w:fldCharType="end"/>
        </w:r>
      </w:hyperlink>
    </w:p>
    <w:p w14:paraId="7E6E4ADC" w14:textId="77777777" w:rsidR="00DD2567" w:rsidRDefault="008269F9">
      <w:pPr>
        <w:pStyle w:val="10"/>
        <w:rPr>
          <w:rFonts w:ascii="宋体" w:hAnsi="宋体"/>
          <w:b/>
          <w:noProof/>
          <w:sz w:val="24"/>
          <w:szCs w:val="24"/>
        </w:rPr>
      </w:pPr>
      <w:hyperlink w:anchor="_Toc342469900" w:history="1">
        <w:r w:rsidR="00680E4C">
          <w:rPr>
            <w:rStyle w:val="af0"/>
            <w:rFonts w:ascii="宋体" w:hAnsi="宋体" w:hint="eastAsia"/>
            <w:b/>
            <w:noProof/>
            <w:sz w:val="24"/>
            <w:szCs w:val="24"/>
          </w:rPr>
          <w:t>第十一部分基金资产估值</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_Toc342469900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48</w:t>
        </w:r>
        <w:r w:rsidR="004B4E0E">
          <w:rPr>
            <w:rFonts w:ascii="宋体" w:hAnsi="宋体"/>
            <w:b/>
            <w:noProof/>
            <w:sz w:val="24"/>
            <w:szCs w:val="24"/>
          </w:rPr>
          <w:fldChar w:fldCharType="end"/>
        </w:r>
      </w:hyperlink>
    </w:p>
    <w:p w14:paraId="683ADB8C" w14:textId="77777777" w:rsidR="00DD2567" w:rsidRDefault="008269F9">
      <w:pPr>
        <w:pStyle w:val="10"/>
        <w:rPr>
          <w:rFonts w:ascii="宋体" w:hAnsi="宋体"/>
          <w:b/>
          <w:noProof/>
          <w:sz w:val="24"/>
          <w:szCs w:val="24"/>
        </w:rPr>
      </w:pPr>
      <w:hyperlink w:anchor="_Toc342469901" w:history="1">
        <w:r w:rsidR="00680E4C">
          <w:rPr>
            <w:rStyle w:val="af0"/>
            <w:rFonts w:ascii="宋体" w:hAnsi="宋体" w:hint="eastAsia"/>
            <w:b/>
            <w:noProof/>
            <w:sz w:val="24"/>
            <w:szCs w:val="24"/>
          </w:rPr>
          <w:t>第十二部分基金的收益与分配</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_Toc342469901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53</w:t>
        </w:r>
        <w:r w:rsidR="004B4E0E">
          <w:rPr>
            <w:rFonts w:ascii="宋体" w:hAnsi="宋体"/>
            <w:b/>
            <w:noProof/>
            <w:sz w:val="24"/>
            <w:szCs w:val="24"/>
          </w:rPr>
          <w:fldChar w:fldCharType="end"/>
        </w:r>
      </w:hyperlink>
    </w:p>
    <w:p w14:paraId="35056CFE" w14:textId="77777777" w:rsidR="00DD2567" w:rsidRDefault="008269F9">
      <w:pPr>
        <w:pStyle w:val="10"/>
        <w:rPr>
          <w:rFonts w:ascii="宋体" w:hAnsi="宋体"/>
          <w:b/>
          <w:noProof/>
          <w:sz w:val="24"/>
          <w:szCs w:val="24"/>
        </w:rPr>
      </w:pPr>
      <w:hyperlink w:anchor="_Toc342469902" w:history="1">
        <w:r w:rsidR="00680E4C">
          <w:rPr>
            <w:rStyle w:val="af0"/>
            <w:rFonts w:ascii="宋体" w:hAnsi="宋体" w:hint="eastAsia"/>
            <w:b/>
            <w:noProof/>
            <w:sz w:val="24"/>
            <w:szCs w:val="24"/>
          </w:rPr>
          <w:t>第十三部分基金的费用与税收</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_Toc342469902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55</w:t>
        </w:r>
        <w:r w:rsidR="004B4E0E">
          <w:rPr>
            <w:rFonts w:ascii="宋体" w:hAnsi="宋体"/>
            <w:b/>
            <w:noProof/>
            <w:sz w:val="24"/>
            <w:szCs w:val="24"/>
          </w:rPr>
          <w:fldChar w:fldCharType="end"/>
        </w:r>
      </w:hyperlink>
    </w:p>
    <w:p w14:paraId="2C330BAA" w14:textId="77777777" w:rsidR="00DD2567" w:rsidRDefault="008269F9">
      <w:pPr>
        <w:pStyle w:val="10"/>
        <w:rPr>
          <w:rFonts w:ascii="宋体" w:hAnsi="宋体"/>
          <w:b/>
          <w:noProof/>
          <w:sz w:val="24"/>
          <w:szCs w:val="24"/>
        </w:rPr>
      </w:pPr>
      <w:hyperlink w:anchor="_Toc342469903" w:history="1">
        <w:r w:rsidR="00680E4C">
          <w:rPr>
            <w:rStyle w:val="af0"/>
            <w:rFonts w:ascii="宋体" w:hAnsi="宋体" w:hint="eastAsia"/>
            <w:b/>
            <w:noProof/>
            <w:sz w:val="24"/>
            <w:szCs w:val="24"/>
          </w:rPr>
          <w:t>第十四部分基金的会计与审计</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_Toc342469903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57</w:t>
        </w:r>
        <w:r w:rsidR="004B4E0E">
          <w:rPr>
            <w:rFonts w:ascii="宋体" w:hAnsi="宋体"/>
            <w:b/>
            <w:noProof/>
            <w:sz w:val="24"/>
            <w:szCs w:val="24"/>
          </w:rPr>
          <w:fldChar w:fldCharType="end"/>
        </w:r>
      </w:hyperlink>
    </w:p>
    <w:p w14:paraId="3D5345DC" w14:textId="77777777" w:rsidR="00DD2567" w:rsidRDefault="008269F9">
      <w:pPr>
        <w:pStyle w:val="10"/>
        <w:rPr>
          <w:rFonts w:ascii="宋体" w:hAnsi="宋体"/>
          <w:b/>
          <w:noProof/>
          <w:sz w:val="24"/>
          <w:szCs w:val="24"/>
        </w:rPr>
      </w:pPr>
      <w:hyperlink w:anchor="_Toc342469904" w:history="1">
        <w:r w:rsidR="00680E4C">
          <w:rPr>
            <w:rStyle w:val="af0"/>
            <w:rFonts w:ascii="宋体" w:hAnsi="宋体" w:hint="eastAsia"/>
            <w:b/>
            <w:noProof/>
            <w:sz w:val="24"/>
            <w:szCs w:val="24"/>
          </w:rPr>
          <w:t>第十五部分基金的信息披露</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_Toc342469904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58</w:t>
        </w:r>
        <w:r w:rsidR="004B4E0E">
          <w:rPr>
            <w:rFonts w:ascii="宋体" w:hAnsi="宋体"/>
            <w:b/>
            <w:noProof/>
            <w:sz w:val="24"/>
            <w:szCs w:val="24"/>
          </w:rPr>
          <w:fldChar w:fldCharType="end"/>
        </w:r>
      </w:hyperlink>
    </w:p>
    <w:p w14:paraId="3EABDF3D" w14:textId="77777777" w:rsidR="00DD2567" w:rsidRDefault="008269F9">
      <w:pPr>
        <w:pStyle w:val="10"/>
        <w:rPr>
          <w:rFonts w:ascii="宋体" w:hAnsi="宋体"/>
          <w:b/>
          <w:noProof/>
          <w:sz w:val="24"/>
          <w:szCs w:val="24"/>
        </w:rPr>
      </w:pPr>
      <w:hyperlink w:anchor="_Toc342469905" w:history="1">
        <w:r w:rsidR="00680E4C">
          <w:rPr>
            <w:rStyle w:val="af0"/>
            <w:rFonts w:ascii="宋体" w:hAnsi="宋体" w:hint="eastAsia"/>
            <w:b/>
            <w:noProof/>
            <w:sz w:val="24"/>
            <w:szCs w:val="24"/>
          </w:rPr>
          <w:t>第十六部分风险揭示</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_Toc342469905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64</w:t>
        </w:r>
        <w:r w:rsidR="004B4E0E">
          <w:rPr>
            <w:rFonts w:ascii="宋体" w:hAnsi="宋体"/>
            <w:b/>
            <w:noProof/>
            <w:sz w:val="24"/>
            <w:szCs w:val="24"/>
          </w:rPr>
          <w:fldChar w:fldCharType="end"/>
        </w:r>
      </w:hyperlink>
    </w:p>
    <w:p w14:paraId="62A00A97" w14:textId="77777777" w:rsidR="00DD2567" w:rsidRDefault="008269F9">
      <w:pPr>
        <w:pStyle w:val="10"/>
        <w:rPr>
          <w:rFonts w:ascii="宋体" w:hAnsi="宋体"/>
          <w:b/>
          <w:noProof/>
          <w:sz w:val="24"/>
          <w:szCs w:val="24"/>
        </w:rPr>
      </w:pPr>
      <w:hyperlink w:anchor="_Toc342469906" w:history="1">
        <w:r w:rsidR="00680E4C">
          <w:rPr>
            <w:rStyle w:val="af0"/>
            <w:rFonts w:ascii="宋体" w:hAnsi="宋体" w:hint="eastAsia"/>
            <w:b/>
            <w:noProof/>
            <w:sz w:val="24"/>
            <w:szCs w:val="24"/>
          </w:rPr>
          <w:t>第十七部分基金合同的变更、终止与基金财产的清算</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_Toc342469906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69</w:t>
        </w:r>
        <w:r w:rsidR="004B4E0E">
          <w:rPr>
            <w:rFonts w:ascii="宋体" w:hAnsi="宋体"/>
            <w:b/>
            <w:noProof/>
            <w:sz w:val="24"/>
            <w:szCs w:val="24"/>
          </w:rPr>
          <w:fldChar w:fldCharType="end"/>
        </w:r>
      </w:hyperlink>
    </w:p>
    <w:p w14:paraId="30C31E1F" w14:textId="77777777" w:rsidR="00DD2567" w:rsidRDefault="008269F9">
      <w:pPr>
        <w:pStyle w:val="10"/>
        <w:rPr>
          <w:rFonts w:ascii="宋体" w:hAnsi="宋体"/>
          <w:b/>
          <w:noProof/>
          <w:sz w:val="24"/>
          <w:szCs w:val="24"/>
        </w:rPr>
      </w:pPr>
      <w:hyperlink w:anchor="_Toc342469907" w:history="1">
        <w:r w:rsidR="00680E4C">
          <w:rPr>
            <w:rStyle w:val="af0"/>
            <w:rFonts w:ascii="宋体" w:hAnsi="宋体" w:hint="eastAsia"/>
            <w:b/>
            <w:noProof/>
            <w:sz w:val="24"/>
            <w:szCs w:val="24"/>
          </w:rPr>
          <w:t>第十八部分</w:t>
        </w:r>
        <w:r w:rsidR="00680E4C">
          <w:rPr>
            <w:rStyle w:val="af0"/>
            <w:rFonts w:ascii="宋体" w:hAnsi="宋体" w:hint="eastAsia"/>
            <w:b/>
            <w:bCs/>
            <w:noProof/>
            <w:sz w:val="24"/>
            <w:szCs w:val="24"/>
          </w:rPr>
          <w:t>基金合同的内容摘要</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_Toc342469907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71</w:t>
        </w:r>
        <w:r w:rsidR="004B4E0E">
          <w:rPr>
            <w:rFonts w:ascii="宋体" w:hAnsi="宋体"/>
            <w:b/>
            <w:noProof/>
            <w:sz w:val="24"/>
            <w:szCs w:val="24"/>
          </w:rPr>
          <w:fldChar w:fldCharType="end"/>
        </w:r>
      </w:hyperlink>
    </w:p>
    <w:p w14:paraId="486747E1" w14:textId="77777777" w:rsidR="00DD2567" w:rsidRDefault="008269F9">
      <w:pPr>
        <w:pStyle w:val="10"/>
        <w:rPr>
          <w:rFonts w:ascii="宋体" w:hAnsi="宋体"/>
          <w:b/>
          <w:noProof/>
          <w:sz w:val="24"/>
          <w:szCs w:val="24"/>
        </w:rPr>
      </w:pPr>
      <w:hyperlink w:anchor="_Toc342469908" w:history="1">
        <w:r w:rsidR="00680E4C">
          <w:rPr>
            <w:rStyle w:val="af0"/>
            <w:rFonts w:ascii="宋体" w:hAnsi="宋体" w:hint="eastAsia"/>
            <w:b/>
            <w:noProof/>
            <w:sz w:val="24"/>
            <w:szCs w:val="24"/>
          </w:rPr>
          <w:t>第十九部分基金托管协议的内容摘要</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_Toc342469908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72</w:t>
        </w:r>
        <w:r w:rsidR="004B4E0E">
          <w:rPr>
            <w:rFonts w:ascii="宋体" w:hAnsi="宋体"/>
            <w:b/>
            <w:noProof/>
            <w:sz w:val="24"/>
            <w:szCs w:val="24"/>
          </w:rPr>
          <w:fldChar w:fldCharType="end"/>
        </w:r>
      </w:hyperlink>
    </w:p>
    <w:p w14:paraId="3D3D5A8E" w14:textId="77777777" w:rsidR="00DD2567" w:rsidRDefault="008269F9">
      <w:pPr>
        <w:pStyle w:val="10"/>
        <w:rPr>
          <w:rFonts w:ascii="宋体" w:hAnsi="宋体"/>
          <w:b/>
          <w:noProof/>
          <w:sz w:val="24"/>
          <w:szCs w:val="24"/>
        </w:rPr>
      </w:pPr>
      <w:hyperlink w:anchor="_Toc342469909" w:history="1">
        <w:r w:rsidR="00680E4C">
          <w:rPr>
            <w:rStyle w:val="af0"/>
            <w:rFonts w:ascii="宋体" w:hAnsi="宋体" w:hint="eastAsia"/>
            <w:b/>
            <w:noProof/>
            <w:sz w:val="24"/>
            <w:szCs w:val="24"/>
          </w:rPr>
          <w:t>第二十部分对基金份额持有人的服务</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_Toc342469909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73</w:t>
        </w:r>
        <w:r w:rsidR="004B4E0E">
          <w:rPr>
            <w:rFonts w:ascii="宋体" w:hAnsi="宋体"/>
            <w:b/>
            <w:noProof/>
            <w:sz w:val="24"/>
            <w:szCs w:val="24"/>
          </w:rPr>
          <w:fldChar w:fldCharType="end"/>
        </w:r>
      </w:hyperlink>
    </w:p>
    <w:p w14:paraId="75C7CEED" w14:textId="77777777" w:rsidR="00DD2567" w:rsidRDefault="008269F9">
      <w:pPr>
        <w:pStyle w:val="10"/>
        <w:rPr>
          <w:rFonts w:ascii="宋体" w:hAnsi="宋体"/>
          <w:b/>
          <w:noProof/>
          <w:sz w:val="24"/>
          <w:szCs w:val="24"/>
        </w:rPr>
      </w:pPr>
      <w:hyperlink w:anchor="_Toc342469910" w:history="1">
        <w:r w:rsidR="00680E4C">
          <w:rPr>
            <w:rStyle w:val="af0"/>
            <w:rFonts w:ascii="宋体" w:hAnsi="宋体" w:hint="eastAsia"/>
            <w:b/>
            <w:noProof/>
            <w:sz w:val="24"/>
            <w:szCs w:val="24"/>
          </w:rPr>
          <w:t>第二十一部分其他应披露事项</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_Toc342469910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75</w:t>
        </w:r>
        <w:r w:rsidR="004B4E0E">
          <w:rPr>
            <w:rFonts w:ascii="宋体" w:hAnsi="宋体"/>
            <w:b/>
            <w:noProof/>
            <w:sz w:val="24"/>
            <w:szCs w:val="24"/>
          </w:rPr>
          <w:fldChar w:fldCharType="end"/>
        </w:r>
      </w:hyperlink>
    </w:p>
    <w:p w14:paraId="0D5A5608" w14:textId="77777777" w:rsidR="00DD2567" w:rsidRDefault="008269F9">
      <w:pPr>
        <w:pStyle w:val="10"/>
        <w:rPr>
          <w:rFonts w:ascii="宋体" w:hAnsi="宋体"/>
          <w:b/>
          <w:noProof/>
          <w:sz w:val="24"/>
          <w:szCs w:val="24"/>
        </w:rPr>
      </w:pPr>
      <w:hyperlink w:anchor="_Toc342469911" w:history="1">
        <w:r w:rsidR="00680E4C">
          <w:rPr>
            <w:rStyle w:val="af0"/>
            <w:rFonts w:ascii="宋体" w:hAnsi="宋体" w:hint="eastAsia"/>
            <w:b/>
            <w:noProof/>
            <w:sz w:val="24"/>
            <w:szCs w:val="24"/>
          </w:rPr>
          <w:t>第二十二部分招募说明书存放及其查阅方式</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_Toc342469911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76</w:t>
        </w:r>
        <w:r w:rsidR="004B4E0E">
          <w:rPr>
            <w:rFonts w:ascii="宋体" w:hAnsi="宋体"/>
            <w:b/>
            <w:noProof/>
            <w:sz w:val="24"/>
            <w:szCs w:val="24"/>
          </w:rPr>
          <w:fldChar w:fldCharType="end"/>
        </w:r>
      </w:hyperlink>
    </w:p>
    <w:p w14:paraId="5DA3352A" w14:textId="77777777" w:rsidR="00DD2567" w:rsidRDefault="008269F9">
      <w:pPr>
        <w:pStyle w:val="10"/>
        <w:rPr>
          <w:rFonts w:ascii="宋体" w:hAnsi="宋体"/>
          <w:b/>
          <w:noProof/>
          <w:sz w:val="24"/>
          <w:szCs w:val="24"/>
        </w:rPr>
      </w:pPr>
      <w:hyperlink w:anchor="_Toc342469912" w:history="1">
        <w:r w:rsidR="00680E4C">
          <w:rPr>
            <w:rStyle w:val="af0"/>
            <w:rFonts w:ascii="宋体" w:hAnsi="宋体" w:hint="eastAsia"/>
            <w:b/>
            <w:noProof/>
            <w:sz w:val="24"/>
            <w:szCs w:val="24"/>
          </w:rPr>
          <w:t>第二十三部分备查文件</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_Toc342469912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77</w:t>
        </w:r>
        <w:r w:rsidR="004B4E0E">
          <w:rPr>
            <w:rFonts w:ascii="宋体" w:hAnsi="宋体"/>
            <w:b/>
            <w:noProof/>
            <w:sz w:val="24"/>
            <w:szCs w:val="24"/>
          </w:rPr>
          <w:fldChar w:fldCharType="end"/>
        </w:r>
      </w:hyperlink>
    </w:p>
    <w:p w14:paraId="593B784E" w14:textId="77777777" w:rsidR="00DD2567" w:rsidRDefault="008269F9">
      <w:pPr>
        <w:pStyle w:val="10"/>
        <w:rPr>
          <w:rFonts w:ascii="宋体" w:hAnsi="宋体"/>
          <w:b/>
          <w:noProof/>
          <w:sz w:val="24"/>
          <w:szCs w:val="24"/>
        </w:rPr>
      </w:pPr>
      <w:hyperlink w:anchor="_Toc342469913" w:history="1">
        <w:r w:rsidR="00680E4C">
          <w:rPr>
            <w:rStyle w:val="af0"/>
            <w:rFonts w:ascii="宋体" w:hAnsi="宋体" w:hint="eastAsia"/>
            <w:b/>
            <w:noProof/>
            <w:sz w:val="24"/>
            <w:szCs w:val="24"/>
          </w:rPr>
          <w:t>附件一基金合同的内容摘要</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_Toc342469913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78</w:t>
        </w:r>
        <w:r w:rsidR="004B4E0E">
          <w:rPr>
            <w:rFonts w:ascii="宋体" w:hAnsi="宋体"/>
            <w:b/>
            <w:noProof/>
            <w:sz w:val="24"/>
            <w:szCs w:val="24"/>
          </w:rPr>
          <w:fldChar w:fldCharType="end"/>
        </w:r>
      </w:hyperlink>
    </w:p>
    <w:p w14:paraId="59831F54" w14:textId="77777777" w:rsidR="00DD2567" w:rsidRDefault="008269F9">
      <w:pPr>
        <w:pStyle w:val="10"/>
        <w:rPr>
          <w:rFonts w:ascii="Calibri" w:hAnsi="Calibri"/>
          <w:noProof/>
          <w:szCs w:val="22"/>
        </w:rPr>
      </w:pPr>
      <w:hyperlink w:anchor="_Toc342469914" w:history="1">
        <w:r w:rsidR="00680E4C">
          <w:rPr>
            <w:rStyle w:val="af0"/>
            <w:rFonts w:ascii="宋体" w:hAnsi="宋体" w:hint="eastAsia"/>
            <w:b/>
            <w:noProof/>
            <w:sz w:val="24"/>
            <w:szCs w:val="24"/>
          </w:rPr>
          <w:t>附件二托管协议的内容摘要</w:t>
        </w:r>
        <w:r w:rsidR="00680E4C">
          <w:rPr>
            <w:rFonts w:ascii="宋体" w:hAnsi="宋体"/>
            <w:b/>
            <w:noProof/>
            <w:sz w:val="24"/>
            <w:szCs w:val="24"/>
          </w:rPr>
          <w:tab/>
        </w:r>
        <w:r w:rsidR="004B4E0E">
          <w:rPr>
            <w:rFonts w:ascii="宋体" w:hAnsi="宋体"/>
            <w:b/>
            <w:noProof/>
            <w:sz w:val="24"/>
            <w:szCs w:val="24"/>
          </w:rPr>
          <w:fldChar w:fldCharType="begin"/>
        </w:r>
        <w:r w:rsidR="00680E4C">
          <w:rPr>
            <w:rFonts w:ascii="宋体" w:hAnsi="宋体"/>
            <w:b/>
            <w:noProof/>
            <w:sz w:val="24"/>
            <w:szCs w:val="24"/>
          </w:rPr>
          <w:instrText xml:space="preserve"> PAGEREF _Toc342469914 \h </w:instrText>
        </w:r>
        <w:r w:rsidR="004B4E0E">
          <w:rPr>
            <w:rFonts w:ascii="宋体" w:hAnsi="宋体"/>
            <w:b/>
            <w:noProof/>
            <w:sz w:val="24"/>
            <w:szCs w:val="24"/>
          </w:rPr>
        </w:r>
        <w:r w:rsidR="004B4E0E">
          <w:rPr>
            <w:rFonts w:ascii="宋体" w:hAnsi="宋体"/>
            <w:b/>
            <w:noProof/>
            <w:sz w:val="24"/>
            <w:szCs w:val="24"/>
          </w:rPr>
          <w:fldChar w:fldCharType="separate"/>
        </w:r>
        <w:r w:rsidR="00097E08">
          <w:rPr>
            <w:rFonts w:ascii="宋体" w:hAnsi="宋体"/>
            <w:b/>
            <w:noProof/>
            <w:sz w:val="24"/>
            <w:szCs w:val="24"/>
          </w:rPr>
          <w:t>94</w:t>
        </w:r>
        <w:r w:rsidR="004B4E0E">
          <w:rPr>
            <w:rFonts w:ascii="宋体" w:hAnsi="宋体"/>
            <w:b/>
            <w:noProof/>
            <w:sz w:val="24"/>
            <w:szCs w:val="24"/>
          </w:rPr>
          <w:fldChar w:fldCharType="end"/>
        </w:r>
      </w:hyperlink>
    </w:p>
    <w:p w14:paraId="1655AEF0" w14:textId="77777777" w:rsidR="00DD2567" w:rsidRDefault="004B4E0E">
      <w:pPr>
        <w:pStyle w:val="1"/>
        <w:spacing w:before="0" w:after="0"/>
        <w:jc w:val="left"/>
        <w:rPr>
          <w:rFonts w:ascii="Times New Roman"/>
          <w:b w:val="0"/>
          <w:bCs/>
          <w:color w:val="auto"/>
          <w:kern w:val="2"/>
        </w:rPr>
        <w:sectPr w:rsidR="00DD2567" w:rsidSect="00B24D50">
          <w:headerReference w:type="default" r:id="rId9"/>
          <w:footerReference w:type="default" r:id="rId10"/>
          <w:pgSz w:w="11906" w:h="16838"/>
          <w:pgMar w:top="1440" w:right="1800" w:bottom="1440" w:left="1800" w:header="851" w:footer="992" w:gutter="0"/>
          <w:pgNumType w:start="0"/>
          <w:cols w:space="720"/>
          <w:titlePg/>
          <w:docGrid w:type="lines" w:linePitch="312"/>
        </w:sectPr>
      </w:pPr>
      <w:r>
        <w:rPr>
          <w:rFonts w:ascii="Times New Roman"/>
          <w:b w:val="0"/>
          <w:bCs/>
          <w:color w:val="auto"/>
          <w:kern w:val="2"/>
        </w:rPr>
        <w:fldChar w:fldCharType="end"/>
      </w:r>
      <w:bookmarkStart w:id="20" w:name="_Toc23386"/>
      <w:bookmarkStart w:id="21" w:name="_Toc141703880"/>
      <w:bookmarkStart w:id="22" w:name="_Toc139991730"/>
      <w:bookmarkStart w:id="23" w:name="_Toc4867"/>
      <w:bookmarkStart w:id="24" w:name="_Toc6306"/>
      <w:bookmarkStart w:id="25" w:name="_Toc8727"/>
      <w:bookmarkStart w:id="26" w:name="_Toc30935"/>
      <w:bookmarkStart w:id="27" w:name="_Toc32639"/>
      <w:bookmarkStart w:id="28" w:name="_Toc15517"/>
      <w:bookmarkStart w:id="29" w:name="_Toc29629"/>
      <w:bookmarkStart w:id="30" w:name="_Toc26897"/>
      <w:bookmarkStart w:id="31" w:name="_Toc4966"/>
      <w:bookmarkStart w:id="32" w:name="_Toc123701389"/>
      <w:bookmarkStart w:id="33" w:name="_Toc123112268"/>
      <w:bookmarkStart w:id="34" w:name="_Toc123112229"/>
      <w:bookmarkStart w:id="35" w:name="_Toc233456271"/>
    </w:p>
    <w:p w14:paraId="7024E35C" w14:textId="77777777" w:rsidR="00DD2567" w:rsidRDefault="00680E4C">
      <w:pPr>
        <w:pStyle w:val="1"/>
        <w:spacing w:before="0" w:after="0"/>
        <w:jc w:val="center"/>
        <w:rPr>
          <w:rFonts w:ascii="Times New Roman"/>
          <w:color w:val="auto"/>
          <w:sz w:val="30"/>
        </w:rPr>
      </w:pPr>
      <w:r>
        <w:rPr>
          <w:rFonts w:ascii="Times New Roman"/>
          <w:color w:val="auto"/>
          <w:sz w:val="30"/>
        </w:rPr>
        <w:br w:type="page"/>
      </w:r>
      <w:bookmarkStart w:id="36" w:name="_Toc342469890"/>
      <w:r>
        <w:rPr>
          <w:rFonts w:ascii="Times New Roman"/>
          <w:color w:val="auto"/>
          <w:sz w:val="30"/>
        </w:rPr>
        <w:lastRenderedPageBreak/>
        <w:t>第一部分</w:t>
      </w:r>
      <w:bookmarkEnd w:id="20"/>
      <w:bookmarkEnd w:id="21"/>
      <w:bookmarkEnd w:id="22"/>
      <w:bookmarkEnd w:id="23"/>
      <w:bookmarkEnd w:id="24"/>
      <w:bookmarkEnd w:id="25"/>
      <w:bookmarkEnd w:id="26"/>
      <w:bookmarkEnd w:id="27"/>
      <w:bookmarkEnd w:id="28"/>
      <w:bookmarkEnd w:id="29"/>
      <w:bookmarkEnd w:id="30"/>
      <w:bookmarkEnd w:id="31"/>
      <w:r w:rsidR="00625BE6">
        <w:rPr>
          <w:rFonts w:ascii="Times New Roman" w:hint="eastAsia"/>
          <w:color w:val="auto"/>
          <w:sz w:val="30"/>
        </w:rPr>
        <w:t xml:space="preserve"> </w:t>
      </w:r>
      <w:r>
        <w:rPr>
          <w:rFonts w:ascii="Times New Roman" w:hint="eastAsia"/>
          <w:color w:val="auto"/>
          <w:sz w:val="30"/>
        </w:rPr>
        <w:t>绪言</w:t>
      </w:r>
      <w:bookmarkEnd w:id="36"/>
    </w:p>
    <w:p w14:paraId="523326C6" w14:textId="77777777" w:rsidR="00DD2567" w:rsidRDefault="00DD2567">
      <w:pPr>
        <w:rPr>
          <w:bCs/>
        </w:rPr>
      </w:pPr>
      <w:bookmarkStart w:id="37" w:name="_Toc139991731"/>
    </w:p>
    <w:p w14:paraId="0F635891" w14:textId="77777777" w:rsidR="00DD2567" w:rsidRDefault="00680E4C">
      <w:pPr>
        <w:snapToGrid w:val="0"/>
        <w:spacing w:line="360" w:lineRule="auto"/>
        <w:ind w:firstLineChars="200" w:firstLine="480"/>
        <w:rPr>
          <w:rFonts w:ascii="宋体" w:hAnsi="宋体"/>
          <w:color w:val="000000"/>
          <w:sz w:val="24"/>
        </w:rPr>
      </w:pPr>
      <w:bookmarkStart w:id="38" w:name="_Toc258829399"/>
      <w:bookmarkEnd w:id="32"/>
      <w:bookmarkEnd w:id="33"/>
      <w:bookmarkEnd w:id="34"/>
      <w:bookmarkEnd w:id="37"/>
      <w:r>
        <w:rPr>
          <w:rFonts w:ascii="宋体" w:hAnsi="宋体" w:hint="eastAsia"/>
          <w:color w:val="000000"/>
          <w:sz w:val="24"/>
        </w:rPr>
        <w:t>《浙商聚潮灵活配置混合型证券投资基金招募说明书》（以下简称“招募说明书”或“本招募说明书”）依据《中华人民共和国证券投资基金法》（以下简称“《基金法》”）、《公开募集证券投资基金运作管理办法》（以下简称“《运作办法》”）、《证券投资基金销售管理办法》（以下简称“《销售办法》”）、《证券投资基金信息披露管理办法》（以下简称“《信息披露办法》”）、《证券投资基金信息披露内容与格式准则第5号〈招募说明书的内容与格式〉》等有关法律法规以及《浙商聚潮灵活配置混合型证券投资基金基金合同》（以下简称“基金合同”）编写。</w:t>
      </w:r>
    </w:p>
    <w:p w14:paraId="714975F5"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本基金管理人承诺本招募说明书不存在任何虚假记载、误导性陈述或者重大遗漏，并对其真实性、准确性、完整性承担法律责任。</w:t>
      </w:r>
    </w:p>
    <w:p w14:paraId="2A3F3C8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浙商聚潮灵活配置混合型证券投资基金（以下简称“基金”或“本基金”）是根据本招募说明书所载明的资料申请募集的。本基金管理人没有委托或授权任何其他人提供未在本招募说明书中载明的信息</w:t>
      </w:r>
      <w:r>
        <w:rPr>
          <w:rFonts w:ascii="宋体" w:hAnsi="宋体"/>
          <w:color w:val="000000"/>
          <w:sz w:val="24"/>
        </w:rPr>
        <w:t>，</w:t>
      </w:r>
      <w:r>
        <w:rPr>
          <w:rFonts w:ascii="宋体" w:hAnsi="宋体" w:hint="eastAsia"/>
          <w:color w:val="000000"/>
          <w:sz w:val="24"/>
        </w:rPr>
        <w:t>或对本招募说明书作任何解释或者说明。</w:t>
      </w:r>
    </w:p>
    <w:p w14:paraId="5702D380"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本招募说明书根据本基金的基金合同编写，并经中国证监会注册。基金合同是约定基金合同当事人之间权利、义务的法律文件，</w:t>
      </w:r>
      <w:r>
        <w:rPr>
          <w:rFonts w:ascii="宋体" w:hAnsi="宋体" w:hint="eastAsia"/>
          <w:bCs/>
          <w:sz w:val="24"/>
        </w:rPr>
        <w:t>其他与基金相关的涉及基金合同当事人之间权利义务关系的任何文件或表述，如与基金合同有冲突，均以基金合同为准</w:t>
      </w:r>
      <w:r>
        <w:rPr>
          <w:rFonts w:ascii="宋体" w:hAnsi="宋体" w:hint="eastAsia"/>
          <w:color w:val="000000"/>
          <w:sz w:val="24"/>
        </w:rPr>
        <w:t>。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278AD05" w14:textId="77777777" w:rsidR="00DD2567" w:rsidRPr="00690813" w:rsidRDefault="00DD2567">
      <w:pPr>
        <w:snapToGrid w:val="0"/>
        <w:spacing w:line="360" w:lineRule="auto"/>
        <w:ind w:firstLineChars="200" w:firstLine="480"/>
        <w:rPr>
          <w:rFonts w:ascii="宋体" w:hAnsi="宋体"/>
          <w:color w:val="000000"/>
          <w:sz w:val="24"/>
        </w:rPr>
      </w:pPr>
    </w:p>
    <w:p w14:paraId="0A92524A" w14:textId="77777777" w:rsidR="00DD2567" w:rsidRDefault="00DD2567">
      <w:pPr>
        <w:snapToGrid w:val="0"/>
        <w:spacing w:line="360" w:lineRule="auto"/>
        <w:ind w:firstLineChars="200" w:firstLine="480"/>
        <w:rPr>
          <w:rFonts w:ascii="宋体" w:hAnsi="宋体"/>
          <w:color w:val="000000"/>
          <w:sz w:val="24"/>
        </w:rPr>
      </w:pPr>
      <w:bookmarkStart w:id="39" w:name="_Toc6617"/>
      <w:bookmarkStart w:id="40" w:name="_Toc15067"/>
      <w:bookmarkStart w:id="41" w:name="_Toc3224"/>
      <w:bookmarkStart w:id="42" w:name="_Toc2465"/>
      <w:bookmarkStart w:id="43" w:name="_Toc19592"/>
      <w:bookmarkStart w:id="44" w:name="_Toc819"/>
      <w:bookmarkStart w:id="45" w:name="_Toc13020"/>
      <w:bookmarkStart w:id="46" w:name="_Toc24860"/>
      <w:bookmarkStart w:id="47" w:name="_Toc22864"/>
      <w:bookmarkStart w:id="48" w:name="_Toc21301"/>
    </w:p>
    <w:p w14:paraId="2A6BA093" w14:textId="77777777" w:rsidR="00DD2567" w:rsidRDefault="00DD2567">
      <w:pPr>
        <w:snapToGrid w:val="0"/>
        <w:spacing w:line="360" w:lineRule="auto"/>
        <w:ind w:firstLineChars="200" w:firstLine="480"/>
        <w:rPr>
          <w:rFonts w:ascii="宋体" w:hAnsi="宋体"/>
          <w:color w:val="000000"/>
          <w:sz w:val="24"/>
        </w:rPr>
      </w:pPr>
    </w:p>
    <w:p w14:paraId="7DFBEA03" w14:textId="77777777" w:rsidR="00DD2567" w:rsidRDefault="00DD2567">
      <w:pPr>
        <w:snapToGrid w:val="0"/>
        <w:spacing w:line="360" w:lineRule="auto"/>
        <w:ind w:firstLineChars="200" w:firstLine="480"/>
        <w:rPr>
          <w:rFonts w:ascii="宋体" w:hAnsi="宋体"/>
          <w:color w:val="000000"/>
          <w:sz w:val="24"/>
        </w:rPr>
      </w:pPr>
    </w:p>
    <w:p w14:paraId="444D6149" w14:textId="77777777" w:rsidR="00DD2567" w:rsidRDefault="00DD2567">
      <w:pPr>
        <w:snapToGrid w:val="0"/>
        <w:spacing w:line="360" w:lineRule="auto"/>
        <w:ind w:firstLineChars="200" w:firstLine="480"/>
        <w:rPr>
          <w:rFonts w:ascii="宋体" w:hAnsi="宋体"/>
          <w:color w:val="000000"/>
          <w:sz w:val="24"/>
        </w:rPr>
      </w:pPr>
    </w:p>
    <w:p w14:paraId="679A1272" w14:textId="77777777" w:rsidR="00DD2567" w:rsidRDefault="00DD2567">
      <w:pPr>
        <w:snapToGrid w:val="0"/>
        <w:spacing w:line="360" w:lineRule="auto"/>
        <w:rPr>
          <w:rFonts w:ascii="宋体" w:hAnsi="宋体"/>
          <w:color w:val="000000"/>
          <w:sz w:val="24"/>
        </w:rPr>
      </w:pPr>
    </w:p>
    <w:p w14:paraId="1CC292F5" w14:textId="77777777" w:rsidR="00DD2567" w:rsidRDefault="00680E4C">
      <w:pPr>
        <w:pStyle w:val="1"/>
        <w:spacing w:before="0" w:after="0"/>
        <w:jc w:val="center"/>
        <w:rPr>
          <w:rFonts w:ascii="Times New Roman"/>
          <w:color w:val="auto"/>
          <w:sz w:val="30"/>
        </w:rPr>
      </w:pPr>
      <w:bookmarkStart w:id="49" w:name="_Toc342469891"/>
      <w:r>
        <w:rPr>
          <w:rFonts w:ascii="Times New Roman"/>
          <w:color w:val="auto"/>
          <w:sz w:val="30"/>
        </w:rPr>
        <w:lastRenderedPageBreak/>
        <w:t>第二部分</w:t>
      </w:r>
      <w:r w:rsidR="00625BE6">
        <w:rPr>
          <w:rFonts w:ascii="Times New Roman" w:hint="eastAsia"/>
          <w:color w:val="auto"/>
          <w:sz w:val="30"/>
        </w:rPr>
        <w:t xml:space="preserve"> </w:t>
      </w:r>
      <w:r>
        <w:rPr>
          <w:rFonts w:ascii="Times New Roman"/>
          <w:color w:val="auto"/>
          <w:sz w:val="30"/>
        </w:rPr>
        <w:t>释义</w:t>
      </w:r>
      <w:bookmarkEnd w:id="35"/>
      <w:bookmarkEnd w:id="38"/>
      <w:bookmarkEnd w:id="39"/>
      <w:bookmarkEnd w:id="40"/>
      <w:bookmarkEnd w:id="41"/>
      <w:bookmarkEnd w:id="42"/>
      <w:bookmarkEnd w:id="43"/>
      <w:bookmarkEnd w:id="44"/>
      <w:bookmarkEnd w:id="45"/>
      <w:bookmarkEnd w:id="46"/>
      <w:bookmarkEnd w:id="47"/>
      <w:bookmarkEnd w:id="48"/>
      <w:bookmarkEnd w:id="49"/>
    </w:p>
    <w:p w14:paraId="6F8C77EC" w14:textId="77777777" w:rsidR="00DD2567" w:rsidRDefault="00DD2567">
      <w:pPr>
        <w:autoSpaceDE w:val="0"/>
        <w:autoSpaceDN w:val="0"/>
        <w:adjustRightInd w:val="0"/>
        <w:spacing w:line="360" w:lineRule="auto"/>
        <w:ind w:firstLineChars="200" w:firstLine="420"/>
        <w:rPr>
          <w:bCs/>
        </w:rPr>
      </w:pPr>
    </w:p>
    <w:p w14:paraId="7AE19E67" w14:textId="77777777" w:rsidR="00DD2567" w:rsidRDefault="00680E4C">
      <w:pPr>
        <w:spacing w:line="360" w:lineRule="auto"/>
        <w:ind w:firstLineChars="200" w:firstLine="480"/>
        <w:rPr>
          <w:rFonts w:ascii="宋体" w:hAnsi="宋体"/>
          <w:bCs/>
          <w:sz w:val="24"/>
        </w:rPr>
      </w:pPr>
      <w:bookmarkStart w:id="50" w:name="_Toc733"/>
      <w:bookmarkStart w:id="51" w:name="_Toc18631"/>
      <w:bookmarkStart w:id="52" w:name="_Toc22708"/>
      <w:bookmarkStart w:id="53" w:name="_Toc20318"/>
      <w:bookmarkStart w:id="54" w:name="_Toc6683"/>
      <w:bookmarkStart w:id="55" w:name="_Toc20627"/>
      <w:bookmarkStart w:id="56" w:name="_Toc24571"/>
      <w:bookmarkStart w:id="57" w:name="_Toc6149"/>
      <w:bookmarkStart w:id="58" w:name="_Toc545"/>
      <w:bookmarkStart w:id="59" w:name="_Toc13288"/>
      <w:bookmarkStart w:id="60" w:name="_Toc258829400"/>
      <w:bookmarkStart w:id="61" w:name="_Toc233456272"/>
      <w:r>
        <w:rPr>
          <w:rFonts w:ascii="宋体" w:hAnsi="宋体"/>
          <w:bCs/>
          <w:sz w:val="24"/>
        </w:rPr>
        <w:t>在本</w:t>
      </w:r>
      <w:r>
        <w:rPr>
          <w:rFonts w:ascii="宋体" w:hAnsi="宋体" w:hint="eastAsia"/>
          <w:bCs/>
          <w:sz w:val="24"/>
        </w:rPr>
        <w:t>招募说明书</w:t>
      </w:r>
      <w:r>
        <w:rPr>
          <w:rFonts w:ascii="宋体" w:hAnsi="宋体"/>
          <w:bCs/>
          <w:sz w:val="24"/>
        </w:rPr>
        <w:t>中，除非文意另有所指，下列词语或简称具有如下含义：</w:t>
      </w:r>
    </w:p>
    <w:p w14:paraId="3C86D76B" w14:textId="77777777" w:rsidR="00DD2567" w:rsidRDefault="00680E4C">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w:t>
      </w:r>
      <w:r>
        <w:rPr>
          <w:rFonts w:ascii="宋体" w:hAnsi="宋体"/>
          <w:bCs/>
          <w:sz w:val="24"/>
        </w:rPr>
        <w:t>基金或本基金：指</w:t>
      </w:r>
      <w:r>
        <w:rPr>
          <w:rFonts w:ascii="宋体" w:hAnsi="宋体" w:hint="eastAsia"/>
          <w:bCs/>
          <w:sz w:val="24"/>
        </w:rPr>
        <w:t>浙商聚潮灵活配置混合型</w:t>
      </w:r>
      <w:r>
        <w:rPr>
          <w:rFonts w:ascii="宋体" w:hAnsi="宋体"/>
          <w:bCs/>
          <w:sz w:val="24"/>
        </w:rPr>
        <w:t>证券投资基金</w:t>
      </w:r>
    </w:p>
    <w:p w14:paraId="1C030368" w14:textId="77777777" w:rsidR="00DD2567" w:rsidRDefault="00680E4C">
      <w:pPr>
        <w:spacing w:line="360" w:lineRule="auto"/>
        <w:ind w:firstLineChars="200" w:firstLine="480"/>
        <w:rPr>
          <w:rFonts w:ascii="宋体" w:hAnsi="宋体"/>
          <w:bCs/>
          <w:sz w:val="24"/>
        </w:rPr>
      </w:pPr>
      <w:r>
        <w:rPr>
          <w:rFonts w:ascii="宋体" w:hAnsi="宋体"/>
          <w:bCs/>
          <w:sz w:val="24"/>
        </w:rPr>
        <w:t>2</w:t>
      </w:r>
      <w:r>
        <w:rPr>
          <w:rFonts w:ascii="宋体" w:hAnsi="宋体" w:hint="eastAsia"/>
          <w:bCs/>
          <w:sz w:val="24"/>
        </w:rPr>
        <w:t>、</w:t>
      </w:r>
      <w:r>
        <w:rPr>
          <w:rFonts w:ascii="宋体" w:hAnsi="宋体"/>
          <w:bCs/>
          <w:sz w:val="24"/>
        </w:rPr>
        <w:t>基金管理人：指</w:t>
      </w:r>
      <w:r>
        <w:rPr>
          <w:rFonts w:ascii="宋体" w:hAnsi="宋体" w:hint="eastAsia"/>
          <w:bCs/>
          <w:sz w:val="24"/>
        </w:rPr>
        <w:t>浙商基金管理有限公司</w:t>
      </w:r>
    </w:p>
    <w:p w14:paraId="3AA676F6" w14:textId="77777777" w:rsidR="00DD2567" w:rsidRDefault="00680E4C">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w:t>
      </w:r>
      <w:r>
        <w:rPr>
          <w:rFonts w:ascii="宋体" w:hAnsi="宋体"/>
          <w:bCs/>
          <w:sz w:val="24"/>
        </w:rPr>
        <w:t>基金托管人：指</w:t>
      </w:r>
      <w:r>
        <w:rPr>
          <w:rFonts w:ascii="宋体" w:hAnsi="宋体" w:hint="eastAsia"/>
          <w:bCs/>
          <w:sz w:val="24"/>
        </w:rPr>
        <w:t>交通银行股份有限公司</w:t>
      </w:r>
    </w:p>
    <w:p w14:paraId="1F2E8E77" w14:textId="77777777" w:rsidR="00DD2567" w:rsidRDefault="00680E4C">
      <w:pPr>
        <w:spacing w:line="360" w:lineRule="auto"/>
        <w:ind w:firstLineChars="200" w:firstLine="480"/>
        <w:rPr>
          <w:rFonts w:ascii="宋体" w:hAnsi="宋体"/>
          <w:bCs/>
          <w:sz w:val="24"/>
        </w:rPr>
      </w:pPr>
      <w:r>
        <w:rPr>
          <w:rFonts w:ascii="宋体" w:hAnsi="宋体"/>
          <w:bCs/>
          <w:sz w:val="24"/>
        </w:rPr>
        <w:t>4</w:t>
      </w:r>
      <w:r>
        <w:rPr>
          <w:rFonts w:ascii="宋体" w:hAnsi="宋体" w:hint="eastAsia"/>
          <w:bCs/>
          <w:sz w:val="24"/>
        </w:rPr>
        <w:t>、</w:t>
      </w:r>
      <w:r>
        <w:rPr>
          <w:rFonts w:ascii="宋体" w:hAnsi="宋体"/>
          <w:bCs/>
          <w:sz w:val="24"/>
        </w:rPr>
        <w:t>基金合同：指《</w:t>
      </w:r>
      <w:r>
        <w:rPr>
          <w:rFonts w:ascii="宋体" w:hAnsi="宋体" w:hint="eastAsia"/>
          <w:bCs/>
          <w:sz w:val="24"/>
        </w:rPr>
        <w:t>浙商聚潮灵活配置混合型</w:t>
      </w:r>
      <w:r>
        <w:rPr>
          <w:rFonts w:ascii="宋体" w:hAnsi="宋体"/>
          <w:bCs/>
          <w:sz w:val="24"/>
        </w:rPr>
        <w:t>证券投资基金基金合同》及对</w:t>
      </w:r>
      <w:r>
        <w:rPr>
          <w:rFonts w:ascii="宋体" w:hAnsi="宋体" w:hint="eastAsia"/>
          <w:bCs/>
          <w:sz w:val="24"/>
        </w:rPr>
        <w:t>该</w:t>
      </w:r>
      <w:r>
        <w:rPr>
          <w:rFonts w:ascii="宋体" w:hAnsi="宋体"/>
          <w:bCs/>
          <w:sz w:val="24"/>
        </w:rPr>
        <w:t>基金合同的任何有效修订和补充</w:t>
      </w:r>
    </w:p>
    <w:p w14:paraId="581C2F90" w14:textId="77777777" w:rsidR="00DD2567" w:rsidRDefault="00680E4C">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bCs/>
          <w:sz w:val="24"/>
        </w:rPr>
        <w:t>托管协议：指基金管理人与基金托管人就本基金签订之《</w:t>
      </w:r>
      <w:r>
        <w:rPr>
          <w:rFonts w:ascii="宋体" w:hAnsi="宋体" w:hint="eastAsia"/>
          <w:bCs/>
          <w:sz w:val="24"/>
        </w:rPr>
        <w:t>浙商聚潮灵活配置混合型</w:t>
      </w:r>
      <w:r>
        <w:rPr>
          <w:rFonts w:ascii="宋体" w:hAnsi="宋体"/>
          <w:bCs/>
          <w:sz w:val="24"/>
        </w:rPr>
        <w:t>证券投资基金托管协议》及对该托管协议的任何有效修订和补充</w:t>
      </w:r>
    </w:p>
    <w:p w14:paraId="4C599A54" w14:textId="77777777" w:rsidR="00DD2567" w:rsidRDefault="00680E4C">
      <w:pPr>
        <w:spacing w:line="360" w:lineRule="auto"/>
        <w:ind w:firstLineChars="200" w:firstLine="480"/>
        <w:rPr>
          <w:rFonts w:ascii="宋体" w:hAnsi="宋体"/>
          <w:bCs/>
          <w:sz w:val="24"/>
        </w:rPr>
      </w:pPr>
      <w:r>
        <w:rPr>
          <w:rFonts w:ascii="宋体" w:hAnsi="宋体"/>
          <w:bCs/>
          <w:sz w:val="24"/>
        </w:rPr>
        <w:t>6</w:t>
      </w:r>
      <w:r>
        <w:rPr>
          <w:rFonts w:ascii="宋体" w:hAnsi="宋体" w:hint="eastAsia"/>
          <w:bCs/>
          <w:sz w:val="24"/>
        </w:rPr>
        <w:t>、</w:t>
      </w:r>
      <w:r>
        <w:rPr>
          <w:rFonts w:ascii="宋体" w:hAnsi="宋体"/>
          <w:bCs/>
          <w:sz w:val="24"/>
        </w:rPr>
        <w:t>招募说明书</w:t>
      </w:r>
      <w:r>
        <w:rPr>
          <w:rFonts w:ascii="宋体" w:hAnsi="宋体" w:hint="eastAsia"/>
          <w:bCs/>
          <w:sz w:val="24"/>
        </w:rPr>
        <w:t>或本</w:t>
      </w:r>
      <w:r>
        <w:rPr>
          <w:rFonts w:ascii="宋体" w:hAnsi="宋体"/>
          <w:bCs/>
          <w:sz w:val="24"/>
        </w:rPr>
        <w:t>招募说明书：指《</w:t>
      </w:r>
      <w:r>
        <w:rPr>
          <w:rFonts w:ascii="宋体" w:hAnsi="宋体" w:hint="eastAsia"/>
          <w:bCs/>
          <w:sz w:val="24"/>
        </w:rPr>
        <w:t>浙商聚潮灵活配置混合型</w:t>
      </w:r>
      <w:r>
        <w:rPr>
          <w:rFonts w:ascii="宋体" w:hAnsi="宋体"/>
          <w:bCs/>
          <w:sz w:val="24"/>
        </w:rPr>
        <w:t>证券投资基金招募说明书》及其定期的更新</w:t>
      </w:r>
    </w:p>
    <w:p w14:paraId="24825B63" w14:textId="77777777" w:rsidR="00DD2567" w:rsidRDefault="00680E4C">
      <w:pPr>
        <w:spacing w:line="360" w:lineRule="auto"/>
        <w:ind w:firstLineChars="200" w:firstLine="480"/>
        <w:rPr>
          <w:rFonts w:ascii="宋体" w:hAnsi="宋体"/>
          <w:bCs/>
          <w:sz w:val="24"/>
        </w:rPr>
      </w:pPr>
      <w:r>
        <w:rPr>
          <w:rFonts w:ascii="宋体" w:hAnsi="宋体"/>
          <w:bCs/>
          <w:sz w:val="24"/>
        </w:rPr>
        <w:t>7</w:t>
      </w:r>
      <w:r>
        <w:rPr>
          <w:rFonts w:ascii="宋体" w:hAnsi="宋体" w:hint="eastAsia"/>
          <w:bCs/>
          <w:sz w:val="24"/>
        </w:rPr>
        <w:t>、</w:t>
      </w:r>
      <w:r>
        <w:rPr>
          <w:rFonts w:ascii="宋体" w:hAnsi="宋体"/>
          <w:bCs/>
          <w:sz w:val="24"/>
        </w:rPr>
        <w:t>基金份额发售公告：指《</w:t>
      </w:r>
      <w:r>
        <w:rPr>
          <w:rFonts w:ascii="宋体" w:hAnsi="宋体" w:hint="eastAsia"/>
          <w:bCs/>
          <w:sz w:val="24"/>
        </w:rPr>
        <w:t>浙商聚潮灵活配置混合型</w:t>
      </w:r>
      <w:r>
        <w:rPr>
          <w:rFonts w:ascii="宋体" w:hAnsi="宋体"/>
          <w:bCs/>
          <w:sz w:val="24"/>
        </w:rPr>
        <w:t>证券投资基金基金份额发售公告》</w:t>
      </w:r>
    </w:p>
    <w:p w14:paraId="37F8BAC2" w14:textId="77777777" w:rsidR="00DD2567" w:rsidRDefault="00680E4C">
      <w:pPr>
        <w:spacing w:line="360" w:lineRule="auto"/>
        <w:ind w:firstLineChars="200" w:firstLine="480"/>
        <w:rPr>
          <w:rFonts w:ascii="宋体" w:hAnsi="宋体"/>
          <w:bCs/>
          <w:sz w:val="24"/>
        </w:rPr>
      </w:pPr>
      <w:r>
        <w:rPr>
          <w:rFonts w:ascii="宋体" w:hAnsi="宋体"/>
          <w:bCs/>
          <w:sz w:val="24"/>
        </w:rPr>
        <w:t>8</w:t>
      </w:r>
      <w:r>
        <w:rPr>
          <w:rFonts w:ascii="宋体" w:hAnsi="宋体" w:hint="eastAsia"/>
          <w:bCs/>
          <w:sz w:val="24"/>
        </w:rPr>
        <w:t>、</w:t>
      </w:r>
      <w:r>
        <w:rPr>
          <w:rFonts w:ascii="宋体" w:hAnsi="宋体"/>
          <w:bCs/>
          <w:sz w:val="24"/>
        </w:rPr>
        <w:t>法律法规：指中国现行有效并公布实施的法律、行政法规、规范性文件、司法解释、行政规章以及其他对基金合同当事人有约束力的决定、决议、通知等</w:t>
      </w:r>
    </w:p>
    <w:p w14:paraId="5C217D7D" w14:textId="77777777" w:rsidR="00DD2567" w:rsidRDefault="00680E4C">
      <w:pPr>
        <w:spacing w:line="360" w:lineRule="auto"/>
        <w:ind w:firstLineChars="200" w:firstLine="480"/>
        <w:rPr>
          <w:rFonts w:ascii="宋体" w:hAnsi="宋体"/>
          <w:bCs/>
          <w:sz w:val="24"/>
        </w:rPr>
      </w:pPr>
      <w:r>
        <w:rPr>
          <w:rFonts w:ascii="宋体" w:hAnsi="宋体"/>
          <w:bCs/>
          <w:sz w:val="24"/>
        </w:rPr>
        <w:t>9</w:t>
      </w:r>
      <w:r>
        <w:rPr>
          <w:rFonts w:ascii="宋体" w:hAnsi="宋体" w:hint="eastAsia"/>
          <w:bCs/>
          <w:sz w:val="24"/>
        </w:rPr>
        <w:t>、</w:t>
      </w:r>
      <w:r>
        <w:rPr>
          <w:rFonts w:ascii="宋体" w:hAnsi="宋体"/>
          <w:bCs/>
          <w:sz w:val="24"/>
        </w:rPr>
        <w:t>《基金法》：指2003年10月28日经第十届全国人民代表大会常务委员会第五次会议通过，</w:t>
      </w:r>
      <w:r>
        <w:rPr>
          <w:rFonts w:ascii="宋体" w:hAnsi="宋体" w:hint="eastAsia"/>
          <w:bCs/>
          <w:sz w:val="24"/>
        </w:rPr>
        <w:t>并经</w:t>
      </w:r>
      <w:r>
        <w:rPr>
          <w:rFonts w:ascii="宋体" w:hAnsi="宋体"/>
          <w:bCs/>
          <w:sz w:val="24"/>
        </w:rPr>
        <w:t>2012</w:t>
      </w:r>
      <w:r>
        <w:rPr>
          <w:rFonts w:ascii="宋体" w:hAnsi="宋体" w:hint="eastAsia"/>
          <w:bCs/>
          <w:sz w:val="24"/>
        </w:rPr>
        <w:t>年</w:t>
      </w:r>
      <w:r>
        <w:rPr>
          <w:rFonts w:ascii="宋体" w:hAnsi="宋体"/>
          <w:bCs/>
          <w:sz w:val="24"/>
        </w:rPr>
        <w:t>12</w:t>
      </w:r>
      <w:r>
        <w:rPr>
          <w:rFonts w:ascii="宋体" w:hAnsi="宋体" w:hint="eastAsia"/>
          <w:bCs/>
          <w:sz w:val="24"/>
        </w:rPr>
        <w:t>月</w:t>
      </w:r>
      <w:r>
        <w:rPr>
          <w:rFonts w:ascii="宋体" w:hAnsi="宋体"/>
          <w:bCs/>
          <w:sz w:val="24"/>
        </w:rPr>
        <w:t>28</w:t>
      </w:r>
      <w:r>
        <w:rPr>
          <w:rFonts w:ascii="宋体" w:hAnsi="宋体" w:hint="eastAsia"/>
          <w:bCs/>
          <w:sz w:val="24"/>
        </w:rPr>
        <w:t>日第十一届全国人民代表大会常务委员会第三十次会议修订、自</w:t>
      </w:r>
      <w:r>
        <w:rPr>
          <w:rFonts w:ascii="宋体" w:hAnsi="宋体"/>
          <w:bCs/>
          <w:sz w:val="24"/>
        </w:rPr>
        <w:t>2013年6月1日起实施</w:t>
      </w:r>
      <w:r>
        <w:rPr>
          <w:rFonts w:ascii="宋体" w:hAnsi="宋体" w:hint="eastAsia"/>
          <w:bCs/>
          <w:sz w:val="24"/>
        </w:rPr>
        <w:t>，并经</w:t>
      </w:r>
      <w:r>
        <w:rPr>
          <w:rFonts w:ascii="宋体" w:hAnsi="宋体"/>
          <w:bCs/>
          <w:sz w:val="24"/>
        </w:rPr>
        <w:t>2015</w:t>
      </w:r>
      <w:r>
        <w:rPr>
          <w:rFonts w:ascii="宋体" w:hAnsi="宋体" w:hint="eastAsia"/>
          <w:bCs/>
          <w:sz w:val="24"/>
        </w:rPr>
        <w:t>年</w:t>
      </w:r>
      <w:r>
        <w:rPr>
          <w:rFonts w:ascii="宋体" w:hAnsi="宋体"/>
          <w:bCs/>
          <w:sz w:val="24"/>
        </w:rPr>
        <w:t>4 </w:t>
      </w:r>
      <w:r>
        <w:rPr>
          <w:rFonts w:ascii="宋体" w:hAnsi="宋体" w:hint="eastAsia"/>
          <w:bCs/>
          <w:sz w:val="24"/>
        </w:rPr>
        <w:t>月</w:t>
      </w:r>
      <w:r>
        <w:rPr>
          <w:rFonts w:ascii="宋体" w:hAnsi="宋体"/>
          <w:bCs/>
          <w:sz w:val="24"/>
        </w:rPr>
        <w:t>24</w:t>
      </w:r>
      <w:r>
        <w:rPr>
          <w:rFonts w:ascii="宋体" w:hAnsi="宋体" w:hint="eastAsia"/>
          <w:bCs/>
          <w:sz w:val="24"/>
        </w:rPr>
        <w:t>日第十二届全国人民代表大会常务委员会第十四次会议《全国人民代表大会常务委员会关于修改</w:t>
      </w:r>
      <w:r>
        <w:rPr>
          <w:rFonts w:ascii="宋体" w:hAnsi="宋体"/>
          <w:bCs/>
          <w:sz w:val="24"/>
        </w:rPr>
        <w:t>&lt;</w:t>
      </w:r>
      <w:r>
        <w:rPr>
          <w:rFonts w:ascii="宋体" w:hAnsi="宋体" w:hint="eastAsia"/>
          <w:bCs/>
          <w:sz w:val="24"/>
        </w:rPr>
        <w:t>中华人民共和国港口法</w:t>
      </w:r>
      <w:r>
        <w:rPr>
          <w:rFonts w:ascii="宋体" w:hAnsi="宋体"/>
          <w:bCs/>
          <w:sz w:val="24"/>
        </w:rPr>
        <w:t>&gt;</w:t>
      </w:r>
      <w:r>
        <w:rPr>
          <w:rFonts w:ascii="宋体" w:hAnsi="宋体" w:hint="eastAsia"/>
          <w:bCs/>
          <w:sz w:val="24"/>
        </w:rPr>
        <w:t>等七部法律的决定》修改</w:t>
      </w:r>
      <w:r>
        <w:rPr>
          <w:rFonts w:ascii="宋体" w:hAnsi="宋体"/>
          <w:bCs/>
          <w:sz w:val="24"/>
        </w:rPr>
        <w:t>的《中华人民共和国证券投资基金法》及颁布机关对其不时做出的修订</w:t>
      </w:r>
    </w:p>
    <w:p w14:paraId="0BD81C86" w14:textId="77777777" w:rsidR="00DD2567" w:rsidRDefault="00680E4C">
      <w:pPr>
        <w:spacing w:line="360" w:lineRule="auto"/>
        <w:ind w:firstLineChars="200" w:firstLine="480"/>
        <w:rPr>
          <w:rFonts w:ascii="宋体" w:hAnsi="宋体"/>
          <w:bCs/>
          <w:sz w:val="24"/>
        </w:rPr>
      </w:pPr>
      <w:r>
        <w:rPr>
          <w:rFonts w:ascii="宋体" w:hAnsi="宋体"/>
          <w:bCs/>
          <w:sz w:val="24"/>
        </w:rPr>
        <w:t>10</w:t>
      </w:r>
      <w:r>
        <w:rPr>
          <w:rFonts w:ascii="宋体" w:hAnsi="宋体" w:hint="eastAsia"/>
          <w:bCs/>
          <w:sz w:val="24"/>
        </w:rPr>
        <w:t>、</w:t>
      </w:r>
      <w:r>
        <w:rPr>
          <w:rFonts w:ascii="宋体" w:hAnsi="宋体"/>
          <w:bCs/>
          <w:sz w:val="24"/>
        </w:rPr>
        <w:t>《销售办法》：指中国证监会2013年3月15日颁布、同年6月1日实施的《证券投资基金销售管理办法》及颁布机关对其不时做出的修订</w:t>
      </w:r>
    </w:p>
    <w:p w14:paraId="7CCAFAAC" w14:textId="77777777" w:rsidR="00DD2567" w:rsidRDefault="00680E4C">
      <w:pPr>
        <w:spacing w:line="360" w:lineRule="auto"/>
        <w:ind w:firstLineChars="200" w:firstLine="480"/>
        <w:rPr>
          <w:rFonts w:ascii="宋体" w:hAnsi="宋体"/>
          <w:bCs/>
          <w:sz w:val="24"/>
        </w:rPr>
      </w:pPr>
      <w:r>
        <w:rPr>
          <w:rFonts w:ascii="宋体" w:hAnsi="宋体"/>
          <w:bCs/>
          <w:sz w:val="24"/>
        </w:rPr>
        <w:t>11</w:t>
      </w:r>
      <w:r>
        <w:rPr>
          <w:rFonts w:ascii="宋体" w:hAnsi="宋体" w:hint="eastAsia"/>
          <w:bCs/>
          <w:sz w:val="24"/>
        </w:rPr>
        <w:t>、</w:t>
      </w:r>
      <w:r>
        <w:rPr>
          <w:rFonts w:ascii="宋体" w:hAnsi="宋体"/>
          <w:bCs/>
          <w:sz w:val="24"/>
        </w:rPr>
        <w:t>《信息披露办法》：指中国证监会2004年6月8日颁布、同年7月1日实施的《证券投资基金信息披露管理办法》及颁布机关对其不时做出的修订</w:t>
      </w:r>
    </w:p>
    <w:p w14:paraId="11FF88F4" w14:textId="77777777" w:rsidR="00DD2567" w:rsidRDefault="00680E4C">
      <w:pPr>
        <w:spacing w:line="360" w:lineRule="auto"/>
        <w:ind w:firstLineChars="200" w:firstLine="480"/>
        <w:rPr>
          <w:rFonts w:ascii="宋体" w:hAnsi="宋体"/>
          <w:bCs/>
          <w:sz w:val="24"/>
        </w:rPr>
      </w:pPr>
      <w:r>
        <w:rPr>
          <w:rFonts w:ascii="宋体" w:hAnsi="宋体"/>
          <w:bCs/>
          <w:sz w:val="24"/>
        </w:rPr>
        <w:t>12</w:t>
      </w:r>
      <w:r>
        <w:rPr>
          <w:rFonts w:ascii="宋体" w:hAnsi="宋体" w:hint="eastAsia"/>
          <w:bCs/>
          <w:sz w:val="24"/>
        </w:rPr>
        <w:t>、</w:t>
      </w:r>
      <w:r>
        <w:rPr>
          <w:rFonts w:ascii="宋体" w:hAnsi="宋体"/>
          <w:bCs/>
          <w:sz w:val="24"/>
        </w:rPr>
        <w:t>《运作办法》：指中国证监会20</w:t>
      </w:r>
      <w:r>
        <w:rPr>
          <w:rFonts w:ascii="宋体" w:hAnsi="宋体" w:hint="eastAsia"/>
          <w:bCs/>
          <w:sz w:val="24"/>
        </w:rPr>
        <w:t>14</w:t>
      </w:r>
      <w:r>
        <w:rPr>
          <w:rFonts w:ascii="宋体" w:hAnsi="宋体"/>
          <w:bCs/>
          <w:sz w:val="24"/>
        </w:rPr>
        <w:t>年</w:t>
      </w:r>
      <w:r>
        <w:rPr>
          <w:rFonts w:ascii="宋体" w:hAnsi="宋体" w:hint="eastAsia"/>
          <w:bCs/>
          <w:sz w:val="24"/>
        </w:rPr>
        <w:t>7</w:t>
      </w:r>
      <w:r>
        <w:rPr>
          <w:rFonts w:ascii="宋体" w:hAnsi="宋体"/>
          <w:bCs/>
          <w:sz w:val="24"/>
        </w:rPr>
        <w:t>月</w:t>
      </w:r>
      <w:r>
        <w:rPr>
          <w:rFonts w:ascii="宋体" w:hAnsi="宋体" w:hint="eastAsia"/>
          <w:bCs/>
          <w:sz w:val="24"/>
        </w:rPr>
        <w:t>7</w:t>
      </w:r>
      <w:r>
        <w:rPr>
          <w:rFonts w:ascii="宋体" w:hAnsi="宋体"/>
          <w:bCs/>
          <w:sz w:val="24"/>
        </w:rPr>
        <w:t>日颁布、同年</w:t>
      </w:r>
      <w:r>
        <w:rPr>
          <w:rFonts w:ascii="宋体" w:hAnsi="宋体" w:hint="eastAsia"/>
          <w:bCs/>
          <w:sz w:val="24"/>
        </w:rPr>
        <w:t>8</w:t>
      </w:r>
      <w:r>
        <w:rPr>
          <w:rFonts w:ascii="宋体" w:hAnsi="宋体"/>
          <w:bCs/>
          <w:sz w:val="24"/>
        </w:rPr>
        <w:t>月</w:t>
      </w:r>
      <w:r>
        <w:rPr>
          <w:rFonts w:ascii="宋体" w:hAnsi="宋体" w:hint="eastAsia"/>
          <w:bCs/>
          <w:sz w:val="24"/>
        </w:rPr>
        <w:t>8</w:t>
      </w:r>
      <w:r>
        <w:rPr>
          <w:rFonts w:ascii="宋体" w:hAnsi="宋体"/>
          <w:bCs/>
          <w:sz w:val="24"/>
        </w:rPr>
        <w:t>日实施的《</w:t>
      </w:r>
      <w:r>
        <w:rPr>
          <w:rFonts w:ascii="宋体" w:hAnsi="宋体" w:hint="eastAsia"/>
          <w:bCs/>
          <w:sz w:val="24"/>
        </w:rPr>
        <w:t>公开募集</w:t>
      </w:r>
      <w:r>
        <w:rPr>
          <w:rFonts w:ascii="宋体" w:hAnsi="宋体"/>
          <w:bCs/>
          <w:sz w:val="24"/>
        </w:rPr>
        <w:t>证券投资基金运作管理办法》及颁布机关对其不时做出的修订</w:t>
      </w:r>
    </w:p>
    <w:p w14:paraId="1335C4D9" w14:textId="77777777" w:rsidR="00DD2567" w:rsidRDefault="00680E4C">
      <w:pPr>
        <w:spacing w:line="360" w:lineRule="auto"/>
        <w:ind w:firstLineChars="200" w:firstLine="480"/>
        <w:rPr>
          <w:rFonts w:ascii="宋体" w:hAnsi="宋体"/>
          <w:bCs/>
          <w:sz w:val="24"/>
        </w:rPr>
      </w:pPr>
      <w:r>
        <w:rPr>
          <w:rFonts w:ascii="宋体" w:hAnsi="宋体"/>
          <w:bCs/>
          <w:sz w:val="24"/>
        </w:rPr>
        <w:t>13</w:t>
      </w:r>
      <w:r>
        <w:rPr>
          <w:rFonts w:ascii="宋体" w:hAnsi="宋体" w:hint="eastAsia"/>
          <w:bCs/>
          <w:sz w:val="24"/>
        </w:rPr>
        <w:t>、</w:t>
      </w:r>
      <w:r>
        <w:rPr>
          <w:rFonts w:ascii="宋体" w:hAnsi="宋体"/>
          <w:bCs/>
          <w:sz w:val="24"/>
        </w:rPr>
        <w:t>中国证监会：指中国证券监督管理委员会</w:t>
      </w:r>
    </w:p>
    <w:p w14:paraId="10CD61E5"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14</w:t>
      </w:r>
      <w:r>
        <w:rPr>
          <w:rFonts w:ascii="宋体" w:hAnsi="宋体" w:hint="eastAsia"/>
          <w:bCs/>
          <w:sz w:val="24"/>
        </w:rPr>
        <w:t>、</w:t>
      </w:r>
      <w:r>
        <w:rPr>
          <w:rFonts w:ascii="宋体" w:hAnsi="宋体"/>
          <w:bCs/>
          <w:sz w:val="24"/>
        </w:rPr>
        <w:t>银行业监督管理机构：指中国人民银行和/或中国银行业监督管理委员会</w:t>
      </w:r>
    </w:p>
    <w:p w14:paraId="32315659" w14:textId="77777777" w:rsidR="00DD2567" w:rsidRDefault="00680E4C">
      <w:pPr>
        <w:spacing w:line="360" w:lineRule="auto"/>
        <w:ind w:firstLineChars="200" w:firstLine="480"/>
        <w:rPr>
          <w:rFonts w:ascii="宋体" w:hAnsi="宋体"/>
          <w:bCs/>
          <w:sz w:val="24"/>
        </w:rPr>
      </w:pPr>
      <w:r>
        <w:rPr>
          <w:rFonts w:ascii="宋体" w:hAnsi="宋体"/>
          <w:bCs/>
          <w:sz w:val="24"/>
        </w:rPr>
        <w:t>15</w:t>
      </w:r>
      <w:r>
        <w:rPr>
          <w:rFonts w:ascii="宋体" w:hAnsi="宋体" w:hint="eastAsia"/>
          <w:bCs/>
          <w:sz w:val="24"/>
        </w:rPr>
        <w:t>、</w:t>
      </w:r>
      <w:r>
        <w:rPr>
          <w:rFonts w:ascii="宋体" w:hAnsi="宋体"/>
          <w:bCs/>
          <w:sz w:val="24"/>
        </w:rPr>
        <w:t>基金合同当事人：指受基金合同约束，根据基金合同享有权利并承担义务的法律主体，包括基金管理人、基金托管人和基金份额持有人</w:t>
      </w:r>
    </w:p>
    <w:p w14:paraId="29CA6B1A" w14:textId="77777777" w:rsidR="00DD2567" w:rsidRDefault="00680E4C">
      <w:pPr>
        <w:spacing w:line="360" w:lineRule="auto"/>
        <w:ind w:firstLineChars="200" w:firstLine="480"/>
        <w:rPr>
          <w:rFonts w:ascii="宋体" w:hAnsi="宋体"/>
          <w:bCs/>
          <w:sz w:val="24"/>
        </w:rPr>
      </w:pPr>
      <w:r>
        <w:rPr>
          <w:rFonts w:ascii="宋体" w:hAnsi="宋体"/>
          <w:bCs/>
          <w:sz w:val="24"/>
        </w:rPr>
        <w:t>16</w:t>
      </w:r>
      <w:r>
        <w:rPr>
          <w:rFonts w:ascii="宋体" w:hAnsi="宋体" w:hint="eastAsia"/>
          <w:bCs/>
          <w:sz w:val="24"/>
        </w:rPr>
        <w:t>、</w:t>
      </w:r>
      <w:r>
        <w:rPr>
          <w:rFonts w:ascii="宋体" w:hAnsi="宋体"/>
          <w:bCs/>
          <w:sz w:val="24"/>
        </w:rPr>
        <w:t>个人投资者：指依据有关法律法规规定可投资于证券投资基金的自然人</w:t>
      </w:r>
    </w:p>
    <w:p w14:paraId="557B84F5" w14:textId="77777777" w:rsidR="00DD2567" w:rsidRDefault="00680E4C">
      <w:pPr>
        <w:spacing w:line="360" w:lineRule="auto"/>
        <w:ind w:firstLineChars="200" w:firstLine="480"/>
        <w:rPr>
          <w:rFonts w:ascii="宋体" w:hAnsi="宋体"/>
          <w:bCs/>
          <w:sz w:val="24"/>
        </w:rPr>
      </w:pPr>
      <w:r>
        <w:rPr>
          <w:rFonts w:ascii="宋体" w:hAnsi="宋体"/>
          <w:bCs/>
          <w:sz w:val="24"/>
        </w:rPr>
        <w:t>17</w:t>
      </w:r>
      <w:r>
        <w:rPr>
          <w:rFonts w:ascii="宋体" w:hAnsi="宋体" w:hint="eastAsia"/>
          <w:bCs/>
          <w:sz w:val="24"/>
        </w:rPr>
        <w:t>、</w:t>
      </w:r>
      <w:r>
        <w:rPr>
          <w:rFonts w:ascii="宋体" w:hAnsi="宋体"/>
          <w:bCs/>
          <w:sz w:val="24"/>
        </w:rPr>
        <w:t>机构投资者：指依法可以投资证券投资基金的、在中华人民共和国境内合法登记并存续或经有关政府部门批准设立并存续的企业法人、事业法人、社会团体或其他组织</w:t>
      </w:r>
    </w:p>
    <w:p w14:paraId="7EA893E6" w14:textId="77777777" w:rsidR="00DD2567" w:rsidRDefault="00680E4C">
      <w:pPr>
        <w:spacing w:line="360" w:lineRule="auto"/>
        <w:ind w:firstLineChars="200" w:firstLine="480"/>
        <w:rPr>
          <w:rFonts w:ascii="宋体" w:hAnsi="宋体"/>
          <w:bCs/>
          <w:sz w:val="24"/>
        </w:rPr>
      </w:pPr>
      <w:r>
        <w:rPr>
          <w:rFonts w:ascii="宋体" w:hAnsi="宋体"/>
          <w:bCs/>
          <w:sz w:val="24"/>
        </w:rPr>
        <w:t>18</w:t>
      </w:r>
      <w:r>
        <w:rPr>
          <w:rFonts w:ascii="宋体" w:hAnsi="宋体" w:hint="eastAsia"/>
          <w:bCs/>
          <w:sz w:val="24"/>
        </w:rPr>
        <w:t>、</w:t>
      </w:r>
      <w:r>
        <w:rPr>
          <w:rFonts w:ascii="宋体" w:hAnsi="宋体"/>
          <w:bCs/>
          <w:sz w:val="24"/>
        </w:rPr>
        <w:t>投资人：指个人投资者、机构投资者和合格境外机构投资者以及法律法规或中国证监会允许购买证券投资基金的其他投资人的合称</w:t>
      </w:r>
    </w:p>
    <w:p w14:paraId="243EEA26" w14:textId="77777777" w:rsidR="00DD2567" w:rsidRDefault="00680E4C">
      <w:pPr>
        <w:spacing w:line="360" w:lineRule="auto"/>
        <w:ind w:firstLineChars="200" w:firstLine="480"/>
        <w:rPr>
          <w:rFonts w:ascii="宋体" w:hAnsi="宋体"/>
          <w:bCs/>
          <w:sz w:val="24"/>
        </w:rPr>
      </w:pPr>
      <w:r>
        <w:rPr>
          <w:rFonts w:ascii="宋体" w:hAnsi="宋体"/>
          <w:bCs/>
          <w:sz w:val="24"/>
        </w:rPr>
        <w:t>19</w:t>
      </w:r>
      <w:r>
        <w:rPr>
          <w:rFonts w:ascii="宋体" w:hAnsi="宋体" w:hint="eastAsia"/>
          <w:bCs/>
          <w:sz w:val="24"/>
        </w:rPr>
        <w:t>、</w:t>
      </w:r>
      <w:r>
        <w:rPr>
          <w:rFonts w:ascii="宋体" w:hAnsi="宋体"/>
          <w:bCs/>
          <w:sz w:val="24"/>
        </w:rPr>
        <w:t>基金份额持有人：指依基金合同和招募说明书合法取得基金份额的投资人</w:t>
      </w:r>
    </w:p>
    <w:p w14:paraId="1CA97691" w14:textId="77777777" w:rsidR="00DD2567" w:rsidRDefault="00680E4C">
      <w:pPr>
        <w:spacing w:line="360" w:lineRule="auto"/>
        <w:ind w:firstLineChars="200" w:firstLine="480"/>
        <w:rPr>
          <w:rFonts w:ascii="宋体" w:hAnsi="宋体"/>
          <w:bCs/>
          <w:sz w:val="24"/>
        </w:rPr>
      </w:pPr>
      <w:r>
        <w:rPr>
          <w:rFonts w:ascii="宋体" w:hAnsi="宋体"/>
          <w:bCs/>
          <w:sz w:val="24"/>
        </w:rPr>
        <w:t>20</w:t>
      </w:r>
      <w:r>
        <w:rPr>
          <w:rFonts w:ascii="宋体" w:hAnsi="宋体" w:hint="eastAsia"/>
          <w:bCs/>
          <w:sz w:val="24"/>
        </w:rPr>
        <w:t>、</w:t>
      </w:r>
      <w:r>
        <w:rPr>
          <w:rFonts w:ascii="宋体" w:hAnsi="宋体"/>
          <w:bCs/>
          <w:sz w:val="24"/>
        </w:rPr>
        <w:t>基金销售业务：指基金管理人或销售机构宣传推介基金，发售基金份额，办理基金份额的申购、赎回、转换、转托管及定期定额投资等业务</w:t>
      </w:r>
    </w:p>
    <w:p w14:paraId="2C366C72" w14:textId="77777777" w:rsidR="00DD2567" w:rsidRDefault="00680E4C">
      <w:pPr>
        <w:spacing w:line="360" w:lineRule="auto"/>
        <w:ind w:firstLineChars="200" w:firstLine="480"/>
        <w:rPr>
          <w:rFonts w:ascii="宋体" w:hAnsi="宋体"/>
          <w:bCs/>
          <w:sz w:val="24"/>
        </w:rPr>
      </w:pPr>
      <w:r>
        <w:rPr>
          <w:rFonts w:ascii="宋体" w:hAnsi="宋体"/>
          <w:bCs/>
          <w:sz w:val="24"/>
        </w:rPr>
        <w:t>21</w:t>
      </w:r>
      <w:r>
        <w:rPr>
          <w:rFonts w:ascii="宋体" w:hAnsi="宋体" w:hint="eastAsia"/>
          <w:bCs/>
          <w:sz w:val="24"/>
        </w:rPr>
        <w:t>、</w:t>
      </w:r>
      <w:r>
        <w:rPr>
          <w:rFonts w:ascii="宋体" w:hAnsi="宋体"/>
          <w:bCs/>
          <w:sz w:val="24"/>
        </w:rPr>
        <w:t>销售机构：指</w:t>
      </w:r>
      <w:r>
        <w:rPr>
          <w:rFonts w:ascii="宋体" w:hAnsi="宋体" w:hint="eastAsia"/>
          <w:bCs/>
          <w:sz w:val="24"/>
        </w:rPr>
        <w:t>浙商</w:t>
      </w:r>
      <w:r>
        <w:rPr>
          <w:rFonts w:ascii="宋体" w:hAnsi="宋体" w:hint="eastAsia"/>
          <w:kern w:val="0"/>
          <w:sz w:val="24"/>
        </w:rPr>
        <w:t>基金管理有限</w:t>
      </w:r>
      <w:r>
        <w:rPr>
          <w:rFonts w:ascii="宋体" w:hAnsi="宋体"/>
          <w:bCs/>
          <w:sz w:val="24"/>
        </w:rPr>
        <w:t>公司以及符合《销售办法》和中国证监会规定的其他条件，取得基金销</w:t>
      </w:r>
      <w:r>
        <w:rPr>
          <w:rFonts w:ascii="宋体" w:hAnsi="宋体" w:hint="eastAsia"/>
          <w:bCs/>
          <w:sz w:val="24"/>
        </w:rPr>
        <w:t>售</w:t>
      </w:r>
      <w:r>
        <w:rPr>
          <w:rFonts w:ascii="宋体" w:hAnsi="宋体"/>
          <w:bCs/>
          <w:sz w:val="24"/>
        </w:rPr>
        <w:t>业务资格并与基金管理人签订了基金销售服务代理协议，代为办理基金销售业务的机构</w:t>
      </w:r>
    </w:p>
    <w:p w14:paraId="3EEB2E1A" w14:textId="77777777" w:rsidR="00DD2567" w:rsidRDefault="00680E4C">
      <w:pPr>
        <w:spacing w:line="360" w:lineRule="auto"/>
        <w:ind w:firstLineChars="200" w:firstLine="480"/>
        <w:rPr>
          <w:rFonts w:ascii="宋体" w:hAnsi="宋体"/>
          <w:bCs/>
          <w:sz w:val="24"/>
        </w:rPr>
      </w:pPr>
      <w:r>
        <w:rPr>
          <w:rFonts w:ascii="宋体" w:hAnsi="宋体"/>
          <w:bCs/>
          <w:sz w:val="24"/>
        </w:rPr>
        <w:t>22</w:t>
      </w:r>
      <w:r>
        <w:rPr>
          <w:rFonts w:ascii="宋体" w:hAnsi="宋体" w:hint="eastAsia"/>
          <w:bCs/>
          <w:sz w:val="24"/>
        </w:rPr>
        <w:t>、</w:t>
      </w:r>
      <w:r>
        <w:rPr>
          <w:rFonts w:ascii="宋体" w:hAnsi="宋体"/>
          <w:bCs/>
          <w:sz w:val="24"/>
        </w:rPr>
        <w:t>登记业务：指基金登记、存管、过户、清算和结算业务，具体内容包括投资人基金账户的建立和管理、基金份额登记、基金销售业务的确认、清算和结算、代理发放红利、建立并保管基金份额持有人名册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和办理非交易过户</w:t>
      </w:r>
      <w:r>
        <w:rPr>
          <w:rFonts w:ascii="宋体" w:hAnsi="宋体"/>
          <w:bCs/>
          <w:sz w:val="24"/>
        </w:rPr>
        <w:t>等</w:t>
      </w:r>
    </w:p>
    <w:p w14:paraId="5F54695F" w14:textId="77777777" w:rsidR="00DD2567" w:rsidRDefault="00680E4C">
      <w:pPr>
        <w:spacing w:line="360" w:lineRule="auto"/>
        <w:ind w:firstLineChars="200" w:firstLine="480"/>
        <w:rPr>
          <w:rFonts w:ascii="宋体" w:hAnsi="宋体"/>
          <w:bCs/>
          <w:sz w:val="24"/>
        </w:rPr>
      </w:pPr>
      <w:r>
        <w:rPr>
          <w:rFonts w:ascii="宋体" w:hAnsi="宋体"/>
          <w:bCs/>
          <w:sz w:val="24"/>
        </w:rPr>
        <w:t>23</w:t>
      </w:r>
      <w:r>
        <w:rPr>
          <w:rFonts w:ascii="宋体" w:hAnsi="宋体" w:hint="eastAsia"/>
          <w:bCs/>
          <w:sz w:val="24"/>
        </w:rPr>
        <w:t>、</w:t>
      </w:r>
      <w:r>
        <w:rPr>
          <w:rFonts w:ascii="宋体" w:hAnsi="宋体"/>
          <w:bCs/>
          <w:sz w:val="24"/>
        </w:rPr>
        <w:t>登记机构：指办理登记业务的机构。基金的登记机构为</w:t>
      </w:r>
      <w:r>
        <w:rPr>
          <w:rFonts w:ascii="宋体" w:hAnsi="宋体" w:hint="eastAsia"/>
          <w:bCs/>
          <w:sz w:val="24"/>
        </w:rPr>
        <w:t>浙商</w:t>
      </w:r>
      <w:r>
        <w:rPr>
          <w:rFonts w:ascii="宋体" w:hAnsi="宋体" w:hint="eastAsia"/>
          <w:kern w:val="0"/>
          <w:sz w:val="24"/>
        </w:rPr>
        <w:t>基金管理有限</w:t>
      </w:r>
      <w:r>
        <w:rPr>
          <w:rFonts w:ascii="宋体" w:hAnsi="宋体"/>
          <w:bCs/>
          <w:sz w:val="24"/>
        </w:rPr>
        <w:t>公司或接受</w:t>
      </w:r>
      <w:r>
        <w:rPr>
          <w:rFonts w:ascii="宋体" w:hAnsi="宋体" w:hint="eastAsia"/>
          <w:bCs/>
          <w:sz w:val="24"/>
        </w:rPr>
        <w:t>浙商</w:t>
      </w:r>
      <w:r>
        <w:rPr>
          <w:rFonts w:ascii="宋体" w:hAnsi="宋体" w:hint="eastAsia"/>
          <w:kern w:val="0"/>
          <w:sz w:val="24"/>
        </w:rPr>
        <w:t>基金管理有限</w:t>
      </w:r>
      <w:r>
        <w:rPr>
          <w:rFonts w:ascii="宋体" w:hAnsi="宋体"/>
          <w:bCs/>
          <w:sz w:val="24"/>
        </w:rPr>
        <w:t>公司委托代为办理登记业务的机构</w:t>
      </w:r>
    </w:p>
    <w:p w14:paraId="445B37C1" w14:textId="77777777" w:rsidR="00DD2567" w:rsidRDefault="00680E4C">
      <w:pPr>
        <w:spacing w:line="360" w:lineRule="auto"/>
        <w:ind w:firstLineChars="200" w:firstLine="480"/>
        <w:rPr>
          <w:rFonts w:ascii="宋体" w:hAnsi="宋体"/>
          <w:bCs/>
          <w:sz w:val="24"/>
        </w:rPr>
      </w:pPr>
      <w:r>
        <w:rPr>
          <w:rFonts w:ascii="宋体" w:hAnsi="宋体"/>
          <w:bCs/>
          <w:sz w:val="24"/>
        </w:rPr>
        <w:t>24</w:t>
      </w:r>
      <w:r>
        <w:rPr>
          <w:rFonts w:ascii="宋体" w:hAnsi="宋体" w:hint="eastAsia"/>
          <w:bCs/>
          <w:sz w:val="24"/>
        </w:rPr>
        <w:t>、</w:t>
      </w:r>
      <w:r>
        <w:rPr>
          <w:rFonts w:ascii="宋体" w:hAnsi="宋体"/>
          <w:bCs/>
          <w:sz w:val="24"/>
        </w:rPr>
        <w:t>基金账户：指登记机构为投资人开立的、记录其持有的、基金管理人所管理的基金份额余额及其变动情况的账户</w:t>
      </w:r>
    </w:p>
    <w:p w14:paraId="7A76C392" w14:textId="77777777" w:rsidR="00DD2567" w:rsidRDefault="00680E4C">
      <w:pPr>
        <w:spacing w:line="360" w:lineRule="auto"/>
        <w:ind w:firstLineChars="200" w:firstLine="480"/>
        <w:rPr>
          <w:rFonts w:ascii="宋体" w:hAnsi="宋体"/>
          <w:bCs/>
          <w:sz w:val="24"/>
        </w:rPr>
      </w:pPr>
      <w:r>
        <w:rPr>
          <w:rFonts w:ascii="宋体" w:hAnsi="宋体"/>
          <w:bCs/>
          <w:sz w:val="24"/>
        </w:rPr>
        <w:t>25</w:t>
      </w:r>
      <w:r>
        <w:rPr>
          <w:rFonts w:ascii="宋体" w:hAnsi="宋体" w:hint="eastAsia"/>
          <w:bCs/>
          <w:sz w:val="24"/>
        </w:rPr>
        <w:t>、</w:t>
      </w:r>
      <w:r>
        <w:rPr>
          <w:rFonts w:ascii="宋体" w:hAnsi="宋体"/>
          <w:bCs/>
          <w:sz w:val="24"/>
        </w:rPr>
        <w:t>基金交易账户：指销售机构为投资人开立的、记录投资人通过该销售机构</w:t>
      </w:r>
      <w:r>
        <w:rPr>
          <w:rFonts w:ascii="宋体" w:hAnsi="宋体" w:hint="eastAsia"/>
          <w:bCs/>
          <w:sz w:val="24"/>
        </w:rPr>
        <w:t>办理认购、申购、赎回、转换、转托管及定期定额投资等业务而引起</w:t>
      </w:r>
      <w:r>
        <w:rPr>
          <w:rFonts w:ascii="宋体" w:hAnsi="宋体"/>
          <w:bCs/>
          <w:sz w:val="24"/>
        </w:rPr>
        <w:t>的基金份额变动及结余情况的账户</w:t>
      </w:r>
    </w:p>
    <w:p w14:paraId="3939BDC9" w14:textId="77777777" w:rsidR="00DD2567" w:rsidRDefault="00680E4C">
      <w:pPr>
        <w:spacing w:line="360" w:lineRule="auto"/>
        <w:ind w:firstLineChars="200" w:firstLine="480"/>
        <w:rPr>
          <w:rFonts w:ascii="宋体" w:hAnsi="宋体"/>
          <w:bCs/>
          <w:sz w:val="24"/>
        </w:rPr>
      </w:pPr>
      <w:r>
        <w:rPr>
          <w:rFonts w:ascii="宋体" w:hAnsi="宋体"/>
          <w:bCs/>
          <w:sz w:val="24"/>
        </w:rPr>
        <w:t>26</w:t>
      </w:r>
      <w:r>
        <w:rPr>
          <w:rFonts w:ascii="宋体" w:hAnsi="宋体" w:hint="eastAsia"/>
          <w:bCs/>
          <w:sz w:val="24"/>
        </w:rPr>
        <w:t>、</w:t>
      </w:r>
      <w:r>
        <w:rPr>
          <w:rFonts w:ascii="宋体" w:hAnsi="宋体"/>
          <w:bCs/>
          <w:sz w:val="24"/>
        </w:rPr>
        <w:t>基金合同生效日：指基金募集达到法律法规规定及基金合同规定的条件，基金管理人向中国证监会办理基金备案手续完毕，并获得中国证监会书面确认的</w:t>
      </w:r>
      <w:r>
        <w:rPr>
          <w:rFonts w:ascii="宋体" w:hAnsi="宋体"/>
          <w:bCs/>
          <w:sz w:val="24"/>
        </w:rPr>
        <w:lastRenderedPageBreak/>
        <w:t>日期</w:t>
      </w:r>
    </w:p>
    <w:p w14:paraId="7732AAB2" w14:textId="77777777" w:rsidR="00DD2567" w:rsidRDefault="00680E4C">
      <w:pPr>
        <w:spacing w:line="360" w:lineRule="auto"/>
        <w:ind w:firstLineChars="200" w:firstLine="480"/>
        <w:rPr>
          <w:rFonts w:ascii="宋体" w:hAnsi="宋体"/>
          <w:bCs/>
          <w:sz w:val="24"/>
        </w:rPr>
      </w:pPr>
      <w:r>
        <w:rPr>
          <w:rFonts w:ascii="宋体" w:hAnsi="宋体"/>
          <w:bCs/>
          <w:sz w:val="24"/>
        </w:rPr>
        <w:t>27</w:t>
      </w:r>
      <w:r>
        <w:rPr>
          <w:rFonts w:ascii="宋体" w:hAnsi="宋体" w:hint="eastAsia"/>
          <w:bCs/>
          <w:sz w:val="24"/>
        </w:rPr>
        <w:t>、</w:t>
      </w:r>
      <w:r>
        <w:rPr>
          <w:rFonts w:ascii="宋体" w:hAnsi="宋体"/>
          <w:bCs/>
          <w:sz w:val="24"/>
        </w:rPr>
        <w:t>基金合同终止日：指基金合同规定的基金合同终止事由出现后，基金财产清算完毕，清算结果报中国证监会备案并予以公告的日期</w:t>
      </w:r>
    </w:p>
    <w:p w14:paraId="6DCB7755" w14:textId="77777777" w:rsidR="00DD2567" w:rsidRDefault="00680E4C">
      <w:pPr>
        <w:spacing w:line="360" w:lineRule="auto"/>
        <w:ind w:firstLineChars="200" w:firstLine="480"/>
        <w:rPr>
          <w:rFonts w:ascii="宋体" w:hAnsi="宋体"/>
          <w:bCs/>
          <w:sz w:val="24"/>
        </w:rPr>
      </w:pPr>
      <w:r>
        <w:rPr>
          <w:rFonts w:ascii="宋体" w:hAnsi="宋体"/>
          <w:bCs/>
          <w:sz w:val="24"/>
        </w:rPr>
        <w:t>28</w:t>
      </w:r>
      <w:r>
        <w:rPr>
          <w:rFonts w:ascii="宋体" w:hAnsi="宋体" w:hint="eastAsia"/>
          <w:bCs/>
          <w:sz w:val="24"/>
        </w:rPr>
        <w:t>、</w:t>
      </w:r>
      <w:r>
        <w:rPr>
          <w:rFonts w:ascii="宋体" w:hAnsi="宋体"/>
          <w:bCs/>
          <w:sz w:val="24"/>
        </w:rPr>
        <w:t>基金募集期：指自基金份额发售之日起至发售结束之日止的期间，最长不得超过</w:t>
      </w:r>
      <w:r>
        <w:rPr>
          <w:rFonts w:ascii="宋体" w:hAnsi="宋体" w:hint="eastAsia"/>
          <w:bCs/>
          <w:sz w:val="24"/>
        </w:rPr>
        <w:t>3</w:t>
      </w:r>
      <w:r>
        <w:rPr>
          <w:rFonts w:ascii="宋体" w:hAnsi="宋体"/>
          <w:bCs/>
          <w:sz w:val="24"/>
        </w:rPr>
        <w:t>个月</w:t>
      </w:r>
    </w:p>
    <w:p w14:paraId="31ADDDB5" w14:textId="77777777" w:rsidR="00DD2567" w:rsidRDefault="00680E4C">
      <w:pPr>
        <w:spacing w:line="360" w:lineRule="auto"/>
        <w:ind w:firstLineChars="200" w:firstLine="480"/>
        <w:rPr>
          <w:rFonts w:ascii="宋体" w:hAnsi="宋体"/>
          <w:bCs/>
          <w:sz w:val="24"/>
        </w:rPr>
      </w:pPr>
      <w:r>
        <w:rPr>
          <w:rFonts w:ascii="宋体" w:hAnsi="宋体"/>
          <w:bCs/>
          <w:sz w:val="24"/>
        </w:rPr>
        <w:t>29</w:t>
      </w:r>
      <w:r>
        <w:rPr>
          <w:rFonts w:ascii="宋体" w:hAnsi="宋体" w:hint="eastAsia"/>
          <w:bCs/>
          <w:sz w:val="24"/>
        </w:rPr>
        <w:t>、</w:t>
      </w:r>
      <w:r>
        <w:rPr>
          <w:rFonts w:ascii="宋体" w:hAnsi="宋体"/>
          <w:bCs/>
          <w:sz w:val="24"/>
        </w:rPr>
        <w:t>存续期：指基金合同生效至终止之间的不定期期限</w:t>
      </w:r>
    </w:p>
    <w:p w14:paraId="761F3CE5" w14:textId="77777777" w:rsidR="00DD2567" w:rsidRDefault="00680E4C">
      <w:pPr>
        <w:spacing w:line="360" w:lineRule="auto"/>
        <w:ind w:firstLineChars="200" w:firstLine="480"/>
        <w:rPr>
          <w:rFonts w:ascii="宋体" w:hAnsi="宋体"/>
          <w:bCs/>
          <w:sz w:val="24"/>
        </w:rPr>
      </w:pPr>
      <w:r>
        <w:rPr>
          <w:rFonts w:ascii="宋体" w:hAnsi="宋体"/>
          <w:bCs/>
          <w:sz w:val="24"/>
        </w:rPr>
        <w:t>30</w:t>
      </w:r>
      <w:r>
        <w:rPr>
          <w:rFonts w:ascii="宋体" w:hAnsi="宋体" w:hint="eastAsia"/>
          <w:bCs/>
          <w:sz w:val="24"/>
        </w:rPr>
        <w:t>、</w:t>
      </w:r>
      <w:r>
        <w:rPr>
          <w:rFonts w:ascii="宋体" w:hAnsi="宋体"/>
          <w:bCs/>
          <w:sz w:val="24"/>
        </w:rPr>
        <w:t>工作日：指上海证券交易所、深圳证券交易所</w:t>
      </w:r>
      <w:r>
        <w:rPr>
          <w:rFonts w:ascii="宋体" w:hAnsi="宋体" w:hint="eastAsia"/>
          <w:bCs/>
          <w:sz w:val="24"/>
        </w:rPr>
        <w:t>、中国金融期货交易所及其他交易场所</w:t>
      </w:r>
      <w:r>
        <w:rPr>
          <w:rFonts w:ascii="宋体" w:hAnsi="宋体"/>
          <w:bCs/>
          <w:sz w:val="24"/>
        </w:rPr>
        <w:t>的正常交易日</w:t>
      </w:r>
    </w:p>
    <w:p w14:paraId="27701CB9" w14:textId="77777777" w:rsidR="00DD2567" w:rsidRDefault="00680E4C">
      <w:pPr>
        <w:spacing w:line="360" w:lineRule="auto"/>
        <w:ind w:firstLineChars="200" w:firstLine="480"/>
        <w:rPr>
          <w:rFonts w:ascii="宋体" w:hAnsi="宋体"/>
          <w:bCs/>
          <w:sz w:val="24"/>
        </w:rPr>
      </w:pPr>
      <w:r>
        <w:rPr>
          <w:rFonts w:ascii="宋体" w:hAnsi="宋体"/>
          <w:bCs/>
          <w:sz w:val="24"/>
        </w:rPr>
        <w:t>31</w:t>
      </w:r>
      <w:r>
        <w:rPr>
          <w:rFonts w:ascii="宋体" w:hAnsi="宋体" w:hint="eastAsia"/>
          <w:bCs/>
          <w:sz w:val="24"/>
        </w:rPr>
        <w:t>、</w:t>
      </w:r>
      <w:r>
        <w:rPr>
          <w:rFonts w:ascii="宋体" w:hAnsi="宋体"/>
          <w:bCs/>
          <w:sz w:val="24"/>
        </w:rPr>
        <w:t>T日：指销售机构在规定时间受理投资人申购、赎回或其他业务申请的开放日</w:t>
      </w:r>
    </w:p>
    <w:p w14:paraId="130A9EAE" w14:textId="77777777" w:rsidR="00DD2567" w:rsidRDefault="00680E4C">
      <w:pPr>
        <w:spacing w:line="360" w:lineRule="auto"/>
        <w:ind w:firstLineChars="200" w:firstLine="480"/>
        <w:rPr>
          <w:rFonts w:ascii="宋体" w:hAnsi="宋体"/>
          <w:bCs/>
          <w:sz w:val="24"/>
        </w:rPr>
      </w:pPr>
      <w:r>
        <w:rPr>
          <w:rFonts w:ascii="宋体" w:hAnsi="宋体"/>
          <w:bCs/>
          <w:sz w:val="24"/>
        </w:rPr>
        <w:t>32</w:t>
      </w:r>
      <w:r>
        <w:rPr>
          <w:rFonts w:ascii="宋体" w:hAnsi="宋体" w:hint="eastAsia"/>
          <w:bCs/>
          <w:sz w:val="24"/>
        </w:rPr>
        <w:t>、</w:t>
      </w:r>
      <w:r>
        <w:rPr>
          <w:rFonts w:ascii="宋体" w:hAnsi="宋体"/>
          <w:bCs/>
          <w:sz w:val="24"/>
        </w:rPr>
        <w:t>T+n日：指自T日起第n个工作日（不包含T日）</w:t>
      </w:r>
    </w:p>
    <w:p w14:paraId="197638E7" w14:textId="77777777" w:rsidR="00DD2567" w:rsidRDefault="00680E4C">
      <w:pPr>
        <w:spacing w:line="360" w:lineRule="auto"/>
        <w:ind w:firstLineChars="200" w:firstLine="480"/>
        <w:rPr>
          <w:rFonts w:ascii="宋体" w:hAnsi="宋体"/>
          <w:bCs/>
          <w:sz w:val="24"/>
        </w:rPr>
      </w:pPr>
      <w:r>
        <w:rPr>
          <w:rFonts w:ascii="宋体" w:hAnsi="宋体"/>
          <w:bCs/>
          <w:sz w:val="24"/>
        </w:rPr>
        <w:t>33</w:t>
      </w:r>
      <w:r>
        <w:rPr>
          <w:rFonts w:ascii="宋体" w:hAnsi="宋体" w:hint="eastAsia"/>
          <w:bCs/>
          <w:sz w:val="24"/>
        </w:rPr>
        <w:t>、</w:t>
      </w:r>
      <w:r>
        <w:rPr>
          <w:rFonts w:ascii="宋体" w:hAnsi="宋体"/>
          <w:bCs/>
          <w:sz w:val="24"/>
        </w:rPr>
        <w:t>开放日：指为投资人办理基金份额申购、赎回或其他业务的工作日</w:t>
      </w:r>
    </w:p>
    <w:p w14:paraId="6771B887" w14:textId="77777777" w:rsidR="00DD2567" w:rsidRDefault="00680E4C">
      <w:pPr>
        <w:spacing w:line="360" w:lineRule="auto"/>
        <w:ind w:firstLineChars="200" w:firstLine="480"/>
        <w:rPr>
          <w:rFonts w:ascii="宋体" w:hAnsi="宋体"/>
          <w:bCs/>
          <w:sz w:val="24"/>
        </w:rPr>
      </w:pPr>
      <w:r>
        <w:rPr>
          <w:rFonts w:ascii="宋体" w:hAnsi="宋体"/>
          <w:bCs/>
          <w:sz w:val="24"/>
        </w:rPr>
        <w:t>34</w:t>
      </w:r>
      <w:r>
        <w:rPr>
          <w:rFonts w:ascii="宋体" w:hAnsi="宋体" w:hint="eastAsia"/>
          <w:bCs/>
          <w:sz w:val="24"/>
        </w:rPr>
        <w:t>、</w:t>
      </w:r>
      <w:r>
        <w:rPr>
          <w:rFonts w:ascii="宋体" w:hAnsi="宋体"/>
          <w:bCs/>
          <w:sz w:val="24"/>
        </w:rPr>
        <w:t>开放时间：指开放日基金接受申购、赎回或其他交易的时间段</w:t>
      </w:r>
    </w:p>
    <w:p w14:paraId="10C0FF3E" w14:textId="77777777" w:rsidR="00DD2567" w:rsidRDefault="00680E4C">
      <w:pPr>
        <w:spacing w:line="360" w:lineRule="auto"/>
        <w:ind w:firstLineChars="200" w:firstLine="480"/>
        <w:rPr>
          <w:rFonts w:ascii="宋体" w:hAnsi="宋体"/>
          <w:bCs/>
          <w:sz w:val="24"/>
        </w:rPr>
      </w:pPr>
      <w:r>
        <w:rPr>
          <w:rFonts w:ascii="宋体" w:hAnsi="宋体"/>
          <w:bCs/>
          <w:sz w:val="24"/>
        </w:rPr>
        <w:t>35</w:t>
      </w:r>
      <w:r>
        <w:rPr>
          <w:rFonts w:ascii="宋体" w:hAnsi="宋体" w:hint="eastAsia"/>
          <w:bCs/>
          <w:sz w:val="24"/>
        </w:rPr>
        <w:t>、</w:t>
      </w:r>
      <w:r>
        <w:rPr>
          <w:rFonts w:ascii="宋体" w:hAnsi="宋体"/>
          <w:bCs/>
          <w:sz w:val="24"/>
        </w:rPr>
        <w:t>《业务规则》：指《</w:t>
      </w:r>
      <w:r>
        <w:rPr>
          <w:rFonts w:ascii="宋体" w:hAnsi="宋体" w:hint="eastAsia"/>
          <w:bCs/>
          <w:sz w:val="24"/>
        </w:rPr>
        <w:t>浙商基金管理有限公司</w:t>
      </w:r>
      <w:r>
        <w:rPr>
          <w:rFonts w:ascii="宋体" w:hAnsi="宋体"/>
          <w:bCs/>
          <w:sz w:val="24"/>
        </w:rPr>
        <w:t>开放式基金业务规则》，是规范基金管理人所管理的开放式证券投资基金登记方面的业务规则，由基金管理人和投资人共同遵守</w:t>
      </w:r>
    </w:p>
    <w:p w14:paraId="570CAC16" w14:textId="77777777" w:rsidR="00DD2567" w:rsidRDefault="00680E4C">
      <w:pPr>
        <w:spacing w:line="360" w:lineRule="auto"/>
        <w:ind w:firstLineChars="200" w:firstLine="480"/>
        <w:rPr>
          <w:rFonts w:ascii="宋体" w:hAnsi="宋体"/>
          <w:bCs/>
          <w:sz w:val="24"/>
        </w:rPr>
      </w:pPr>
      <w:r>
        <w:rPr>
          <w:rFonts w:ascii="宋体" w:hAnsi="宋体"/>
          <w:bCs/>
          <w:sz w:val="24"/>
        </w:rPr>
        <w:t>36</w:t>
      </w:r>
      <w:r>
        <w:rPr>
          <w:rFonts w:ascii="宋体" w:hAnsi="宋体" w:hint="eastAsia"/>
          <w:bCs/>
          <w:sz w:val="24"/>
        </w:rPr>
        <w:t>、</w:t>
      </w:r>
      <w:r>
        <w:rPr>
          <w:rFonts w:ascii="宋体" w:hAnsi="宋体"/>
          <w:bCs/>
          <w:sz w:val="24"/>
        </w:rPr>
        <w:t>认购：指在基金募集期内，投资人</w:t>
      </w:r>
      <w:r>
        <w:rPr>
          <w:rFonts w:ascii="宋体" w:hAnsi="宋体" w:hint="eastAsia"/>
          <w:bCs/>
          <w:sz w:val="24"/>
        </w:rPr>
        <w:t>根据基金合同和招募说明书的规定</w:t>
      </w:r>
      <w:r>
        <w:rPr>
          <w:rFonts w:ascii="宋体" w:hAnsi="宋体"/>
          <w:bCs/>
          <w:sz w:val="24"/>
        </w:rPr>
        <w:t>申请购买基金份额的行为</w:t>
      </w:r>
    </w:p>
    <w:p w14:paraId="1C32BB89" w14:textId="77777777" w:rsidR="00DD2567" w:rsidRDefault="00680E4C">
      <w:pPr>
        <w:spacing w:line="360" w:lineRule="auto"/>
        <w:ind w:firstLineChars="200" w:firstLine="480"/>
        <w:rPr>
          <w:rFonts w:ascii="宋体" w:hAnsi="宋体"/>
          <w:bCs/>
          <w:sz w:val="24"/>
        </w:rPr>
      </w:pPr>
      <w:r>
        <w:rPr>
          <w:rFonts w:ascii="宋体" w:hAnsi="宋体"/>
          <w:bCs/>
          <w:sz w:val="24"/>
        </w:rPr>
        <w:t>37</w:t>
      </w:r>
      <w:r>
        <w:rPr>
          <w:rFonts w:ascii="宋体" w:hAnsi="宋体" w:hint="eastAsia"/>
          <w:bCs/>
          <w:sz w:val="24"/>
        </w:rPr>
        <w:t>、</w:t>
      </w:r>
      <w:r>
        <w:rPr>
          <w:rFonts w:ascii="宋体" w:hAnsi="宋体"/>
          <w:bCs/>
          <w:sz w:val="24"/>
        </w:rPr>
        <w:t>申购：指基金合同生效后，投资人根据基金合同和招募说明书的规定申请购买基金份额的行为</w:t>
      </w:r>
    </w:p>
    <w:p w14:paraId="61512DB1" w14:textId="77777777" w:rsidR="00DD2567" w:rsidRDefault="00680E4C">
      <w:pPr>
        <w:spacing w:line="360" w:lineRule="auto"/>
        <w:ind w:firstLineChars="200" w:firstLine="480"/>
        <w:rPr>
          <w:rFonts w:ascii="宋体" w:hAnsi="宋体"/>
          <w:bCs/>
          <w:sz w:val="24"/>
        </w:rPr>
      </w:pPr>
      <w:r>
        <w:rPr>
          <w:rFonts w:ascii="宋体" w:hAnsi="宋体"/>
          <w:bCs/>
          <w:sz w:val="24"/>
        </w:rPr>
        <w:t>38</w:t>
      </w:r>
      <w:r>
        <w:rPr>
          <w:rFonts w:ascii="宋体" w:hAnsi="宋体" w:hint="eastAsia"/>
          <w:bCs/>
          <w:sz w:val="24"/>
        </w:rPr>
        <w:t>、</w:t>
      </w:r>
      <w:r>
        <w:rPr>
          <w:rFonts w:ascii="宋体" w:hAnsi="宋体"/>
          <w:bCs/>
          <w:sz w:val="24"/>
        </w:rPr>
        <w:t>赎回：指基金合同生效后，基金份额持有人按基金合同</w:t>
      </w:r>
      <w:r>
        <w:rPr>
          <w:rFonts w:ascii="宋体" w:hAnsi="宋体" w:hint="eastAsia"/>
          <w:bCs/>
          <w:sz w:val="24"/>
        </w:rPr>
        <w:t>和招募说明书</w:t>
      </w:r>
      <w:r>
        <w:rPr>
          <w:rFonts w:ascii="宋体" w:hAnsi="宋体"/>
          <w:bCs/>
          <w:sz w:val="24"/>
        </w:rPr>
        <w:t>规定的条件要求将基金份额兑换为现金的行为</w:t>
      </w:r>
    </w:p>
    <w:p w14:paraId="0252BE9D" w14:textId="77777777" w:rsidR="00DD2567" w:rsidRDefault="00680E4C">
      <w:pPr>
        <w:spacing w:line="360" w:lineRule="auto"/>
        <w:ind w:firstLineChars="200" w:firstLine="480"/>
        <w:rPr>
          <w:rFonts w:ascii="宋体" w:hAnsi="宋体"/>
          <w:bCs/>
          <w:sz w:val="24"/>
        </w:rPr>
      </w:pPr>
      <w:r>
        <w:rPr>
          <w:rFonts w:ascii="宋体" w:hAnsi="宋体"/>
          <w:bCs/>
          <w:sz w:val="24"/>
        </w:rPr>
        <w:t>39</w:t>
      </w:r>
      <w:r>
        <w:rPr>
          <w:rFonts w:ascii="宋体" w:hAnsi="宋体" w:hint="eastAsia"/>
          <w:bCs/>
          <w:sz w:val="24"/>
        </w:rPr>
        <w:t>、</w:t>
      </w:r>
      <w:r>
        <w:rPr>
          <w:rFonts w:ascii="宋体" w:hAnsi="宋体"/>
          <w:bCs/>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3B67424F" w14:textId="77777777" w:rsidR="00DD2567" w:rsidRDefault="00680E4C">
      <w:pPr>
        <w:spacing w:line="360" w:lineRule="auto"/>
        <w:ind w:firstLineChars="200" w:firstLine="480"/>
        <w:rPr>
          <w:rFonts w:ascii="宋体" w:hAnsi="宋体"/>
          <w:bCs/>
          <w:sz w:val="24"/>
        </w:rPr>
      </w:pPr>
      <w:r>
        <w:rPr>
          <w:rFonts w:ascii="宋体" w:hAnsi="宋体"/>
          <w:bCs/>
          <w:sz w:val="24"/>
        </w:rPr>
        <w:t>40</w:t>
      </w:r>
      <w:r>
        <w:rPr>
          <w:rFonts w:ascii="宋体" w:hAnsi="宋体" w:hint="eastAsia"/>
          <w:bCs/>
          <w:sz w:val="24"/>
        </w:rPr>
        <w:t>、</w:t>
      </w:r>
      <w:r>
        <w:rPr>
          <w:rFonts w:ascii="宋体" w:hAnsi="宋体"/>
          <w:bCs/>
          <w:sz w:val="24"/>
        </w:rPr>
        <w:t>转托管：指基金份额持有人在本基金的不同销售机构之间实施的变更所持基金份额销售机构的操作</w:t>
      </w:r>
    </w:p>
    <w:p w14:paraId="0367B02A" w14:textId="77777777" w:rsidR="00DD2567" w:rsidRDefault="00680E4C">
      <w:pPr>
        <w:spacing w:line="360" w:lineRule="auto"/>
        <w:ind w:firstLineChars="200" w:firstLine="480"/>
        <w:rPr>
          <w:rFonts w:ascii="宋体" w:hAnsi="宋体"/>
          <w:bCs/>
          <w:sz w:val="24"/>
        </w:rPr>
      </w:pPr>
      <w:r>
        <w:rPr>
          <w:rFonts w:ascii="宋体" w:hAnsi="宋体"/>
          <w:bCs/>
          <w:sz w:val="24"/>
        </w:rPr>
        <w:t>41</w:t>
      </w:r>
      <w:r>
        <w:rPr>
          <w:rFonts w:ascii="宋体" w:hAnsi="宋体" w:hint="eastAsia"/>
          <w:bCs/>
          <w:sz w:val="24"/>
        </w:rPr>
        <w:t>、</w:t>
      </w:r>
      <w:r>
        <w:rPr>
          <w:rFonts w:ascii="宋体" w:hAnsi="宋体"/>
          <w:bCs/>
          <w:sz w:val="24"/>
        </w:rPr>
        <w:t>定期定额投资计划：指投资人通过有关销售机构提出申请，约定每期</w:t>
      </w:r>
      <w:r>
        <w:rPr>
          <w:rFonts w:ascii="宋体" w:hAnsi="宋体" w:hint="eastAsia"/>
          <w:bCs/>
          <w:sz w:val="24"/>
        </w:rPr>
        <w:t>申购</w:t>
      </w:r>
      <w:r>
        <w:rPr>
          <w:rFonts w:ascii="宋体" w:hAnsi="宋体"/>
          <w:bCs/>
          <w:sz w:val="24"/>
        </w:rPr>
        <w:t>日、扣款金额及扣款方式，由销售机构于每期约定扣款日在投资人指定银行账</w:t>
      </w:r>
      <w:r>
        <w:rPr>
          <w:rFonts w:ascii="宋体" w:hAnsi="宋体"/>
          <w:bCs/>
          <w:sz w:val="24"/>
        </w:rPr>
        <w:lastRenderedPageBreak/>
        <w:t>户内自动完成扣款及</w:t>
      </w:r>
      <w:r>
        <w:rPr>
          <w:rFonts w:ascii="宋体" w:hAnsi="宋体" w:hint="eastAsia"/>
          <w:bCs/>
          <w:sz w:val="24"/>
        </w:rPr>
        <w:t>受理</w:t>
      </w:r>
      <w:r>
        <w:rPr>
          <w:rFonts w:ascii="宋体" w:hAnsi="宋体"/>
          <w:bCs/>
          <w:sz w:val="24"/>
        </w:rPr>
        <w:t>基金申购申请的一种投资方式</w:t>
      </w:r>
    </w:p>
    <w:p w14:paraId="3BDDEF1C" w14:textId="77777777" w:rsidR="00DD2567" w:rsidRDefault="00680E4C">
      <w:pPr>
        <w:spacing w:line="360" w:lineRule="auto"/>
        <w:ind w:firstLineChars="200" w:firstLine="480"/>
        <w:rPr>
          <w:rFonts w:ascii="宋体" w:hAnsi="宋体"/>
          <w:bCs/>
          <w:sz w:val="24"/>
          <w:highlight w:val="yellow"/>
        </w:rPr>
      </w:pPr>
      <w:r>
        <w:rPr>
          <w:rFonts w:ascii="宋体" w:hAnsi="宋体"/>
          <w:bCs/>
          <w:sz w:val="24"/>
        </w:rPr>
        <w:t>42</w:t>
      </w:r>
      <w:r>
        <w:rPr>
          <w:rFonts w:ascii="宋体" w:hAnsi="宋体" w:hint="eastAsia"/>
          <w:bCs/>
          <w:sz w:val="24"/>
        </w:rPr>
        <w:t>、</w:t>
      </w:r>
      <w:r>
        <w:rPr>
          <w:rFonts w:ascii="宋体" w:hAnsi="宋体"/>
          <w:bCs/>
          <w:sz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宋体" w:hAnsi="宋体" w:hint="eastAsia"/>
          <w:bCs/>
          <w:sz w:val="24"/>
        </w:rPr>
        <w:t>10%</w:t>
      </w:r>
    </w:p>
    <w:p w14:paraId="4C2AD352" w14:textId="77777777" w:rsidR="00DD2567" w:rsidRDefault="00680E4C">
      <w:pPr>
        <w:spacing w:line="360" w:lineRule="auto"/>
        <w:ind w:firstLineChars="200" w:firstLine="480"/>
        <w:rPr>
          <w:rFonts w:ascii="宋体" w:hAnsi="宋体"/>
          <w:bCs/>
          <w:sz w:val="24"/>
        </w:rPr>
      </w:pPr>
      <w:r>
        <w:rPr>
          <w:rFonts w:ascii="宋体" w:hAnsi="宋体"/>
          <w:bCs/>
          <w:sz w:val="24"/>
        </w:rPr>
        <w:t>43</w:t>
      </w:r>
      <w:r>
        <w:rPr>
          <w:rFonts w:ascii="宋体" w:hAnsi="宋体" w:hint="eastAsia"/>
          <w:bCs/>
          <w:sz w:val="24"/>
        </w:rPr>
        <w:t>、</w:t>
      </w:r>
      <w:r>
        <w:rPr>
          <w:rFonts w:ascii="宋体" w:hAnsi="宋体"/>
          <w:bCs/>
          <w:sz w:val="24"/>
        </w:rPr>
        <w:t>元：指人民币元</w:t>
      </w:r>
    </w:p>
    <w:p w14:paraId="21F9DBF0" w14:textId="77777777" w:rsidR="00DD2567" w:rsidRDefault="00680E4C">
      <w:pPr>
        <w:spacing w:line="360" w:lineRule="auto"/>
        <w:ind w:firstLineChars="200" w:firstLine="480"/>
        <w:rPr>
          <w:rFonts w:ascii="宋体" w:hAnsi="宋体"/>
          <w:bCs/>
          <w:sz w:val="24"/>
        </w:rPr>
      </w:pPr>
      <w:r>
        <w:rPr>
          <w:rFonts w:ascii="宋体" w:hAnsi="宋体"/>
          <w:bCs/>
          <w:sz w:val="24"/>
        </w:rPr>
        <w:t>44</w:t>
      </w:r>
      <w:r>
        <w:rPr>
          <w:rFonts w:ascii="宋体" w:hAnsi="宋体" w:hint="eastAsia"/>
          <w:bCs/>
          <w:sz w:val="24"/>
        </w:rPr>
        <w:t>、</w:t>
      </w:r>
      <w:r>
        <w:rPr>
          <w:rFonts w:ascii="宋体" w:hAnsi="宋体"/>
          <w:bCs/>
          <w:sz w:val="24"/>
        </w:rPr>
        <w:t>基金收益：指基金投资所得红利、股息、债券利息、买卖证券价差、银行存款利息、已实现的其他合法收入及因运用基金财产带来的成本和费用的节约</w:t>
      </w:r>
    </w:p>
    <w:p w14:paraId="0977564A" w14:textId="77777777" w:rsidR="00DD2567" w:rsidRDefault="00680E4C">
      <w:pPr>
        <w:spacing w:line="360" w:lineRule="auto"/>
        <w:ind w:firstLineChars="200" w:firstLine="480"/>
        <w:rPr>
          <w:rFonts w:ascii="宋体" w:hAnsi="宋体"/>
          <w:bCs/>
          <w:sz w:val="24"/>
        </w:rPr>
      </w:pPr>
      <w:r>
        <w:rPr>
          <w:rFonts w:ascii="宋体" w:hAnsi="宋体"/>
          <w:bCs/>
          <w:sz w:val="24"/>
        </w:rPr>
        <w:t>45</w:t>
      </w:r>
      <w:r>
        <w:rPr>
          <w:rFonts w:ascii="宋体" w:hAnsi="宋体" w:hint="eastAsia"/>
          <w:bCs/>
          <w:sz w:val="24"/>
        </w:rPr>
        <w:t>、</w:t>
      </w:r>
      <w:r>
        <w:rPr>
          <w:rFonts w:ascii="宋体" w:hAnsi="宋体"/>
          <w:bCs/>
          <w:sz w:val="24"/>
        </w:rPr>
        <w:t>基金资产总值：指基金拥有的各类有价证券、银行存款本息、基金应收申购款及其他资产的价值总和</w:t>
      </w:r>
    </w:p>
    <w:p w14:paraId="42360F07" w14:textId="77777777" w:rsidR="00DD2567" w:rsidRDefault="00680E4C">
      <w:pPr>
        <w:spacing w:line="360" w:lineRule="auto"/>
        <w:ind w:firstLineChars="200" w:firstLine="480"/>
        <w:rPr>
          <w:rFonts w:ascii="宋体" w:hAnsi="宋体"/>
          <w:bCs/>
          <w:sz w:val="24"/>
        </w:rPr>
      </w:pPr>
      <w:r>
        <w:rPr>
          <w:rFonts w:ascii="宋体" w:hAnsi="宋体"/>
          <w:bCs/>
          <w:sz w:val="24"/>
        </w:rPr>
        <w:t>46</w:t>
      </w:r>
      <w:r>
        <w:rPr>
          <w:rFonts w:ascii="宋体" w:hAnsi="宋体" w:hint="eastAsia"/>
          <w:bCs/>
          <w:sz w:val="24"/>
        </w:rPr>
        <w:t>、</w:t>
      </w:r>
      <w:r>
        <w:rPr>
          <w:rFonts w:ascii="宋体" w:hAnsi="宋体"/>
          <w:bCs/>
          <w:sz w:val="24"/>
        </w:rPr>
        <w:t>基金资产净值：指基金资产总值减去基金负债后的价值</w:t>
      </w:r>
    </w:p>
    <w:p w14:paraId="2EEB5796" w14:textId="77777777" w:rsidR="00DD2567" w:rsidRDefault="00680E4C">
      <w:pPr>
        <w:spacing w:line="360" w:lineRule="auto"/>
        <w:ind w:firstLineChars="200" w:firstLine="480"/>
        <w:rPr>
          <w:rFonts w:ascii="宋体" w:hAnsi="宋体"/>
          <w:bCs/>
          <w:sz w:val="24"/>
        </w:rPr>
      </w:pPr>
      <w:r>
        <w:rPr>
          <w:rFonts w:ascii="宋体" w:hAnsi="宋体"/>
          <w:bCs/>
          <w:sz w:val="24"/>
        </w:rPr>
        <w:t>47</w:t>
      </w:r>
      <w:r>
        <w:rPr>
          <w:rFonts w:ascii="宋体" w:hAnsi="宋体" w:hint="eastAsia"/>
          <w:bCs/>
          <w:sz w:val="24"/>
        </w:rPr>
        <w:t>、</w:t>
      </w:r>
      <w:r>
        <w:rPr>
          <w:rFonts w:ascii="宋体" w:hAnsi="宋体"/>
          <w:bCs/>
          <w:sz w:val="24"/>
        </w:rPr>
        <w:t>基金份额净值：指计算日基金资产净值除以计算日基金份额总数</w:t>
      </w:r>
    </w:p>
    <w:p w14:paraId="158BD961" w14:textId="77777777" w:rsidR="00DD2567" w:rsidRDefault="00680E4C">
      <w:pPr>
        <w:spacing w:line="360" w:lineRule="auto"/>
        <w:ind w:firstLineChars="200" w:firstLine="480"/>
        <w:rPr>
          <w:rFonts w:ascii="宋体" w:hAnsi="宋体"/>
          <w:bCs/>
          <w:sz w:val="24"/>
        </w:rPr>
      </w:pPr>
      <w:r>
        <w:rPr>
          <w:rFonts w:ascii="宋体" w:hAnsi="宋体"/>
          <w:bCs/>
          <w:sz w:val="24"/>
        </w:rPr>
        <w:t>48</w:t>
      </w:r>
      <w:r>
        <w:rPr>
          <w:rFonts w:ascii="宋体" w:hAnsi="宋体" w:hint="eastAsia"/>
          <w:bCs/>
          <w:sz w:val="24"/>
        </w:rPr>
        <w:t>、</w:t>
      </w:r>
      <w:r>
        <w:rPr>
          <w:rFonts w:ascii="宋体" w:hAnsi="宋体"/>
          <w:bCs/>
          <w:sz w:val="24"/>
        </w:rPr>
        <w:t>基金资产估值：指计算评估基金资产和负债的价值，以确定基金资产净值和基金份额净值的过程</w:t>
      </w:r>
    </w:p>
    <w:p w14:paraId="311F2772" w14:textId="77777777" w:rsidR="00DD2567" w:rsidRDefault="00680E4C">
      <w:pPr>
        <w:spacing w:line="360" w:lineRule="auto"/>
        <w:ind w:firstLineChars="200" w:firstLine="480"/>
        <w:rPr>
          <w:rFonts w:ascii="宋体" w:hAnsi="宋体"/>
          <w:bCs/>
          <w:sz w:val="24"/>
        </w:rPr>
      </w:pPr>
      <w:r>
        <w:rPr>
          <w:rFonts w:ascii="宋体" w:hAnsi="宋体"/>
          <w:bCs/>
          <w:sz w:val="24"/>
        </w:rPr>
        <w:t>49</w:t>
      </w:r>
      <w:r>
        <w:rPr>
          <w:rFonts w:ascii="宋体" w:hAnsi="宋体" w:hint="eastAsia"/>
          <w:bCs/>
          <w:sz w:val="24"/>
        </w:rPr>
        <w:t>、</w:t>
      </w:r>
      <w:r>
        <w:rPr>
          <w:rFonts w:ascii="宋体" w:hAnsi="宋体"/>
          <w:bCs/>
          <w:sz w:val="24"/>
        </w:rPr>
        <w:t>指定媒介：指中国证监会指定的用以进行信息披露的报刊、互联网网站及其他媒介</w:t>
      </w:r>
    </w:p>
    <w:p w14:paraId="133905A7" w14:textId="77777777" w:rsidR="00DD2567" w:rsidRDefault="00680E4C">
      <w:pPr>
        <w:spacing w:line="360" w:lineRule="auto"/>
        <w:ind w:firstLineChars="200" w:firstLine="480"/>
        <w:rPr>
          <w:rFonts w:ascii="宋体" w:hAnsi="宋体"/>
          <w:bCs/>
          <w:sz w:val="24"/>
        </w:rPr>
      </w:pPr>
      <w:r>
        <w:rPr>
          <w:rFonts w:ascii="宋体" w:hAnsi="宋体"/>
          <w:bCs/>
          <w:sz w:val="24"/>
        </w:rPr>
        <w:t>50</w:t>
      </w:r>
      <w:r>
        <w:rPr>
          <w:rFonts w:ascii="宋体" w:hAnsi="宋体" w:hint="eastAsia"/>
          <w:bCs/>
          <w:sz w:val="24"/>
        </w:rPr>
        <w:t>、</w:t>
      </w:r>
      <w:r>
        <w:rPr>
          <w:rFonts w:ascii="宋体" w:hAnsi="宋体"/>
          <w:bCs/>
          <w:sz w:val="24"/>
        </w:rPr>
        <w:t>不可抗力：指</w:t>
      </w:r>
      <w:r>
        <w:rPr>
          <w:rFonts w:ascii="宋体" w:hAnsi="宋体" w:hint="eastAsia"/>
          <w:bCs/>
          <w:sz w:val="24"/>
        </w:rPr>
        <w:t>基金</w:t>
      </w:r>
      <w:r>
        <w:rPr>
          <w:rFonts w:ascii="宋体" w:hAnsi="宋体"/>
          <w:bCs/>
          <w:sz w:val="24"/>
        </w:rPr>
        <w:t>合同当事人不能预见、不能避免且不能克服的客观事件。</w:t>
      </w:r>
    </w:p>
    <w:p w14:paraId="0D9A84DA" w14:textId="77777777" w:rsidR="00DD2567" w:rsidRDefault="00680E4C">
      <w:pPr>
        <w:pStyle w:val="1"/>
        <w:spacing w:before="0" w:after="0"/>
        <w:jc w:val="center"/>
        <w:rPr>
          <w:rFonts w:ascii="Times New Roman"/>
          <w:color w:val="auto"/>
          <w:sz w:val="30"/>
        </w:rPr>
      </w:pPr>
      <w:r>
        <w:rPr>
          <w:rFonts w:ascii="Times New Roman" w:hAnsi="宋体"/>
          <w:bCs/>
        </w:rPr>
        <w:br w:type="page"/>
      </w:r>
      <w:bookmarkStart w:id="62" w:name="_Toc342469892"/>
      <w:r>
        <w:rPr>
          <w:rFonts w:ascii="Times New Roman"/>
          <w:color w:val="auto"/>
          <w:sz w:val="30"/>
        </w:rPr>
        <w:lastRenderedPageBreak/>
        <w:t>第三部分</w:t>
      </w:r>
      <w:r w:rsidR="00625BE6">
        <w:rPr>
          <w:rFonts w:ascii="Times New Roman" w:hint="eastAsia"/>
          <w:color w:val="auto"/>
          <w:sz w:val="30"/>
        </w:rPr>
        <w:t xml:space="preserve"> </w:t>
      </w:r>
      <w:r>
        <w:rPr>
          <w:rFonts w:ascii="Times New Roman"/>
          <w:color w:val="auto"/>
          <w:sz w:val="30"/>
        </w:rPr>
        <w:t>基金</w:t>
      </w:r>
      <w:bookmarkStart w:id="63" w:name="_Toc79392573"/>
      <w:bookmarkEnd w:id="50"/>
      <w:bookmarkEnd w:id="51"/>
      <w:bookmarkEnd w:id="52"/>
      <w:bookmarkEnd w:id="53"/>
      <w:bookmarkEnd w:id="54"/>
      <w:bookmarkEnd w:id="55"/>
      <w:bookmarkEnd w:id="56"/>
      <w:bookmarkEnd w:id="57"/>
      <w:bookmarkEnd w:id="58"/>
      <w:bookmarkEnd w:id="59"/>
      <w:r>
        <w:rPr>
          <w:rFonts w:ascii="Times New Roman" w:hint="eastAsia"/>
          <w:color w:val="auto"/>
          <w:sz w:val="30"/>
        </w:rPr>
        <w:t>管理人</w:t>
      </w:r>
      <w:bookmarkEnd w:id="62"/>
    </w:p>
    <w:p w14:paraId="7BE766F9" w14:textId="77777777" w:rsidR="00DD2567" w:rsidRDefault="00DD2567">
      <w:pPr>
        <w:spacing w:line="360" w:lineRule="auto"/>
        <w:ind w:firstLine="540"/>
        <w:rPr>
          <w:bCs/>
          <w:sz w:val="24"/>
        </w:rPr>
      </w:pPr>
      <w:bookmarkStart w:id="64" w:name="_Hlt88031774"/>
      <w:bookmarkStart w:id="65" w:name="_Hlt88031741"/>
      <w:bookmarkEnd w:id="64"/>
    </w:p>
    <w:bookmarkEnd w:id="65"/>
    <w:p w14:paraId="77665F1B" w14:textId="77777777" w:rsidR="00DD2567" w:rsidRDefault="00680E4C">
      <w:pPr>
        <w:spacing w:line="360" w:lineRule="auto"/>
        <w:ind w:firstLineChars="200" w:firstLine="480"/>
        <w:rPr>
          <w:rFonts w:ascii="宋体" w:hAnsi="宋体"/>
          <w:bCs/>
          <w:sz w:val="24"/>
        </w:rPr>
      </w:pPr>
      <w:r>
        <w:rPr>
          <w:rFonts w:ascii="宋体" w:hAnsi="宋体" w:hint="eastAsia"/>
          <w:bCs/>
          <w:sz w:val="24"/>
        </w:rPr>
        <w:t>一、基金管理人概况</w:t>
      </w:r>
    </w:p>
    <w:p w14:paraId="2D5B8A5E" w14:textId="77777777" w:rsidR="00DD2567" w:rsidRDefault="00680E4C">
      <w:pPr>
        <w:widowControl/>
        <w:spacing w:line="360" w:lineRule="auto"/>
        <w:ind w:firstLineChars="200" w:firstLine="480"/>
        <w:rPr>
          <w:rFonts w:ascii="宋体" w:hAnsi="宋体"/>
          <w:sz w:val="24"/>
        </w:rPr>
      </w:pPr>
      <w:r>
        <w:rPr>
          <w:rFonts w:ascii="宋体" w:hAnsi="宋体" w:hint="eastAsia"/>
          <w:sz w:val="24"/>
        </w:rPr>
        <w:t>名称：浙商基金管理有限公司</w:t>
      </w:r>
    </w:p>
    <w:p w14:paraId="2BD7FFDB" w14:textId="77777777" w:rsidR="00DD2567" w:rsidRDefault="00680E4C">
      <w:pPr>
        <w:widowControl/>
        <w:spacing w:line="360" w:lineRule="auto"/>
        <w:ind w:firstLineChars="200" w:firstLine="480"/>
        <w:rPr>
          <w:rFonts w:ascii="宋体" w:hAnsi="宋体"/>
          <w:sz w:val="24"/>
        </w:rPr>
      </w:pPr>
      <w:r>
        <w:rPr>
          <w:rFonts w:ascii="宋体" w:hAnsi="宋体" w:hint="eastAsia"/>
          <w:sz w:val="24"/>
        </w:rPr>
        <w:t>住所：杭州市下城区环城北路208号1801室</w:t>
      </w:r>
    </w:p>
    <w:p w14:paraId="187F47E2" w14:textId="3AEB1A2E" w:rsidR="00DD2567" w:rsidRDefault="00680E4C">
      <w:pPr>
        <w:widowControl/>
        <w:spacing w:line="360" w:lineRule="auto"/>
        <w:ind w:firstLineChars="200" w:firstLine="480"/>
        <w:rPr>
          <w:rFonts w:ascii="宋体" w:hAnsi="宋体"/>
          <w:sz w:val="24"/>
        </w:rPr>
      </w:pPr>
      <w:r>
        <w:rPr>
          <w:rFonts w:ascii="宋体" w:hAnsi="宋体" w:hint="eastAsia"/>
          <w:sz w:val="24"/>
        </w:rPr>
        <w:t>办公地址：杭州市西湖区教工路18号世贸丽晶城欧美中心</w:t>
      </w:r>
      <w:r w:rsidR="00485EEA">
        <w:rPr>
          <w:rFonts w:ascii="宋体" w:hAnsi="宋体" w:hint="eastAsia"/>
          <w:sz w:val="24"/>
        </w:rPr>
        <w:t>B座507室</w:t>
      </w:r>
    </w:p>
    <w:p w14:paraId="65F55BFA" w14:textId="77777777" w:rsidR="00DD2567" w:rsidRDefault="00680E4C">
      <w:pPr>
        <w:widowControl/>
        <w:spacing w:line="360" w:lineRule="auto"/>
        <w:ind w:firstLineChars="200" w:firstLine="480"/>
        <w:rPr>
          <w:rFonts w:ascii="宋体" w:hAnsi="宋体"/>
          <w:sz w:val="24"/>
        </w:rPr>
      </w:pPr>
      <w:r>
        <w:rPr>
          <w:rFonts w:ascii="宋体" w:hAnsi="宋体" w:hint="eastAsia"/>
          <w:sz w:val="24"/>
        </w:rPr>
        <w:t>法定代表人：</w:t>
      </w:r>
      <w:r>
        <w:rPr>
          <w:rFonts w:ascii="宋体" w:hAnsi="宋体"/>
          <w:sz w:val="24"/>
        </w:rPr>
        <w:t>肖风</w:t>
      </w:r>
    </w:p>
    <w:p w14:paraId="10D66C7A" w14:textId="77777777" w:rsidR="00DD2567" w:rsidRDefault="00680E4C">
      <w:pPr>
        <w:widowControl/>
        <w:spacing w:line="360" w:lineRule="auto"/>
        <w:ind w:firstLineChars="200" w:firstLine="480"/>
        <w:rPr>
          <w:rFonts w:ascii="宋体" w:hAnsi="宋体"/>
          <w:sz w:val="24"/>
        </w:rPr>
      </w:pPr>
      <w:r>
        <w:rPr>
          <w:rFonts w:ascii="宋体" w:hAnsi="宋体" w:hint="eastAsia"/>
          <w:sz w:val="24"/>
        </w:rPr>
        <w:t>设立日期：</w:t>
      </w:r>
      <w:r>
        <w:rPr>
          <w:rFonts w:ascii="宋体" w:hAnsi="宋体"/>
          <w:sz w:val="24"/>
        </w:rPr>
        <w:t>20</w:t>
      </w:r>
      <w:r>
        <w:rPr>
          <w:rFonts w:ascii="宋体" w:hAnsi="宋体" w:hint="eastAsia"/>
          <w:sz w:val="24"/>
        </w:rPr>
        <w:t>10年10月21日</w:t>
      </w:r>
    </w:p>
    <w:p w14:paraId="0D0C31F5" w14:textId="77777777" w:rsidR="00DD2567" w:rsidRDefault="00680E4C">
      <w:pPr>
        <w:widowControl/>
        <w:spacing w:line="360" w:lineRule="auto"/>
        <w:ind w:firstLineChars="200" w:firstLine="480"/>
        <w:rPr>
          <w:rFonts w:ascii="宋体" w:hAnsi="宋体"/>
          <w:sz w:val="24"/>
        </w:rPr>
      </w:pPr>
      <w:r>
        <w:rPr>
          <w:rFonts w:ascii="宋体" w:hAnsi="宋体" w:hint="eastAsia"/>
          <w:sz w:val="24"/>
        </w:rPr>
        <w:t>批准设立机关：中国证券监督管理委员会</w:t>
      </w:r>
    </w:p>
    <w:p w14:paraId="27E528DF" w14:textId="77777777" w:rsidR="00DD2567" w:rsidRDefault="00680E4C">
      <w:pPr>
        <w:widowControl/>
        <w:spacing w:line="360" w:lineRule="auto"/>
        <w:ind w:firstLineChars="200" w:firstLine="480"/>
        <w:rPr>
          <w:rFonts w:ascii="宋体" w:hAnsi="宋体"/>
          <w:sz w:val="24"/>
        </w:rPr>
      </w:pPr>
      <w:r>
        <w:rPr>
          <w:rFonts w:ascii="宋体" w:hAnsi="宋体" w:hint="eastAsia"/>
          <w:sz w:val="24"/>
        </w:rPr>
        <w:t>批准设立文号：中国证监会证监许可【</w:t>
      </w:r>
      <w:r>
        <w:rPr>
          <w:rFonts w:ascii="宋体" w:hAnsi="宋体"/>
          <w:sz w:val="24"/>
        </w:rPr>
        <w:t>20</w:t>
      </w:r>
      <w:r>
        <w:rPr>
          <w:rFonts w:ascii="宋体" w:hAnsi="宋体" w:hint="eastAsia"/>
          <w:sz w:val="24"/>
        </w:rPr>
        <w:t>10】1312号</w:t>
      </w:r>
    </w:p>
    <w:p w14:paraId="1D5DB494" w14:textId="77777777" w:rsidR="00DD2567" w:rsidRDefault="00680E4C">
      <w:pPr>
        <w:widowControl/>
        <w:spacing w:line="360" w:lineRule="auto"/>
        <w:ind w:firstLineChars="200" w:firstLine="480"/>
        <w:rPr>
          <w:rFonts w:ascii="宋体" w:hAnsi="宋体"/>
          <w:sz w:val="24"/>
        </w:rPr>
      </w:pPr>
      <w:r>
        <w:rPr>
          <w:rFonts w:ascii="宋体" w:hAnsi="宋体" w:hint="eastAsia"/>
          <w:sz w:val="24"/>
        </w:rPr>
        <w:t>组织形式：有限责任公司</w:t>
      </w:r>
    </w:p>
    <w:p w14:paraId="2EE542C5" w14:textId="77777777" w:rsidR="00DD2567" w:rsidRDefault="00680E4C">
      <w:pPr>
        <w:widowControl/>
        <w:spacing w:line="360" w:lineRule="auto"/>
        <w:ind w:firstLineChars="200" w:firstLine="480"/>
        <w:rPr>
          <w:rFonts w:ascii="宋体" w:hAnsi="宋体"/>
          <w:sz w:val="24"/>
        </w:rPr>
      </w:pPr>
      <w:r>
        <w:rPr>
          <w:rFonts w:ascii="宋体" w:hAnsi="宋体" w:hint="eastAsia"/>
          <w:sz w:val="24"/>
        </w:rPr>
        <w:t>注册资本：3亿元人民币</w:t>
      </w:r>
    </w:p>
    <w:p w14:paraId="2C3F5177" w14:textId="77777777" w:rsidR="00DD2567" w:rsidRDefault="00680E4C">
      <w:pPr>
        <w:widowControl/>
        <w:spacing w:line="360" w:lineRule="auto"/>
        <w:ind w:firstLineChars="200" w:firstLine="480"/>
        <w:rPr>
          <w:rFonts w:ascii="宋体" w:hAnsi="宋体"/>
          <w:sz w:val="24"/>
        </w:rPr>
      </w:pPr>
      <w:r>
        <w:rPr>
          <w:rFonts w:ascii="宋体" w:hAnsi="宋体" w:hint="eastAsia"/>
          <w:sz w:val="24"/>
        </w:rPr>
        <w:t>存续期间：持续经营</w:t>
      </w:r>
    </w:p>
    <w:p w14:paraId="14250A2A" w14:textId="77777777" w:rsidR="00DD2567" w:rsidRDefault="00680E4C">
      <w:pPr>
        <w:widowControl/>
        <w:spacing w:line="360" w:lineRule="auto"/>
        <w:ind w:firstLineChars="200" w:firstLine="480"/>
        <w:rPr>
          <w:rFonts w:ascii="宋体" w:hAnsi="宋体"/>
          <w:sz w:val="24"/>
        </w:rPr>
      </w:pPr>
      <w:r>
        <w:rPr>
          <w:rFonts w:ascii="宋体" w:hAnsi="宋体" w:hint="eastAsia"/>
          <w:sz w:val="24"/>
        </w:rPr>
        <w:t>股权结构：浙商证券股份有限责任公司、浙江浙大网新集团有限公司、通联资本管理有限公司、养生堂有限公司分别占公司注册资本的</w:t>
      </w:r>
      <w:r>
        <w:rPr>
          <w:rFonts w:ascii="宋体" w:hAnsi="宋体"/>
          <w:sz w:val="24"/>
        </w:rPr>
        <w:t>25%</w:t>
      </w:r>
    </w:p>
    <w:p w14:paraId="6C03AF1E" w14:textId="68582C6D" w:rsidR="00DD2567" w:rsidRDefault="00680E4C">
      <w:pPr>
        <w:widowControl/>
        <w:spacing w:line="360" w:lineRule="auto"/>
        <w:ind w:firstLineChars="200" w:firstLine="480"/>
        <w:rPr>
          <w:rFonts w:ascii="宋体" w:hAnsi="宋体"/>
          <w:sz w:val="24"/>
        </w:rPr>
      </w:pPr>
      <w:r>
        <w:rPr>
          <w:rFonts w:ascii="宋体" w:hAnsi="宋体" w:hint="eastAsia"/>
          <w:sz w:val="24"/>
        </w:rPr>
        <w:t>联系人：</w:t>
      </w:r>
      <w:r w:rsidR="00485EEA">
        <w:rPr>
          <w:rFonts w:ascii="宋体" w:hAnsi="宋体" w:hint="eastAsia"/>
          <w:sz w:val="24"/>
        </w:rPr>
        <w:t>何萍</w:t>
      </w:r>
    </w:p>
    <w:p w14:paraId="64620523" w14:textId="27FD0499" w:rsidR="00DD2567" w:rsidRDefault="00680E4C">
      <w:pPr>
        <w:widowControl/>
        <w:spacing w:line="360" w:lineRule="auto"/>
        <w:ind w:firstLineChars="200" w:firstLine="480"/>
        <w:rPr>
          <w:rFonts w:ascii="宋体" w:hAnsi="宋体"/>
          <w:sz w:val="24"/>
        </w:rPr>
      </w:pPr>
      <w:r>
        <w:rPr>
          <w:rFonts w:ascii="宋体" w:hAnsi="宋体" w:hint="eastAsia"/>
          <w:sz w:val="24"/>
        </w:rPr>
        <w:t>联系电话：021</w:t>
      </w:r>
      <w:r w:rsidR="00485EEA">
        <w:rPr>
          <w:rFonts w:ascii="宋体" w:hAnsi="宋体" w:hint="eastAsia"/>
          <w:sz w:val="24"/>
        </w:rPr>
        <w:t>-60350835</w:t>
      </w:r>
    </w:p>
    <w:p w14:paraId="1F6BF7A5" w14:textId="77777777" w:rsidR="00DD2567" w:rsidRDefault="00680E4C">
      <w:pPr>
        <w:spacing w:line="360" w:lineRule="auto"/>
        <w:ind w:firstLineChars="200" w:firstLine="480"/>
        <w:rPr>
          <w:rFonts w:ascii="宋体" w:hAnsi="宋体"/>
          <w:bCs/>
          <w:sz w:val="24"/>
        </w:rPr>
      </w:pPr>
      <w:r>
        <w:rPr>
          <w:rFonts w:ascii="宋体" w:hAnsi="宋体" w:hint="eastAsia"/>
          <w:bCs/>
          <w:sz w:val="24"/>
        </w:rPr>
        <w:t>二、主要人员情况</w:t>
      </w:r>
    </w:p>
    <w:p w14:paraId="0C0825F3" w14:textId="77777777" w:rsidR="00DD2567" w:rsidRDefault="00680E4C">
      <w:pPr>
        <w:spacing w:line="360" w:lineRule="auto"/>
        <w:ind w:firstLineChars="200" w:firstLine="480"/>
        <w:rPr>
          <w:rFonts w:ascii="宋体" w:hAnsi="宋体"/>
          <w:bCs/>
          <w:sz w:val="24"/>
        </w:rPr>
      </w:pPr>
      <w:r>
        <w:rPr>
          <w:rFonts w:ascii="宋体" w:hAnsi="宋体" w:hint="eastAsia"/>
          <w:bCs/>
          <w:sz w:val="24"/>
        </w:rPr>
        <w:t>1、董事会成员</w:t>
      </w:r>
    </w:p>
    <w:p w14:paraId="2FA486D0" w14:textId="77777777" w:rsidR="00485EEA" w:rsidRPr="00F277DD" w:rsidRDefault="00485EEA" w:rsidP="00485EEA">
      <w:pPr>
        <w:spacing w:line="360" w:lineRule="auto"/>
        <w:ind w:firstLineChars="200" w:firstLine="480"/>
        <w:rPr>
          <w:rFonts w:ascii="宋体" w:hAnsi="宋体"/>
          <w:bCs/>
          <w:sz w:val="24"/>
        </w:rPr>
      </w:pPr>
      <w:r w:rsidRPr="00F277DD">
        <w:rPr>
          <w:rFonts w:ascii="宋体" w:hAnsi="宋体" w:hint="eastAsia"/>
          <w:sz w:val="24"/>
        </w:rPr>
        <w:t>肖风先生，董事长，1961年生，中共党员，博士生学历。历任深圳证券管理办公室副处长、处长、证券办副主任；博时基金管理有限公司</w:t>
      </w:r>
      <w:r>
        <w:rPr>
          <w:rFonts w:ascii="宋体" w:hAnsi="宋体" w:hint="eastAsia"/>
          <w:sz w:val="24"/>
        </w:rPr>
        <w:t>总裁</w:t>
      </w:r>
      <w:r w:rsidRPr="00F277DD">
        <w:rPr>
          <w:rFonts w:ascii="宋体" w:hAnsi="宋体" w:hint="eastAsia"/>
          <w:sz w:val="24"/>
        </w:rPr>
        <w:t>。现任中国万向控股有限公司副董事长、民生人寿保险股份有限公司</w:t>
      </w:r>
      <w:r>
        <w:rPr>
          <w:rFonts w:ascii="宋体" w:hAnsi="宋体" w:hint="eastAsia"/>
          <w:sz w:val="24"/>
        </w:rPr>
        <w:t>副</w:t>
      </w:r>
      <w:r w:rsidRPr="00F277DD">
        <w:rPr>
          <w:rFonts w:ascii="宋体" w:hAnsi="宋体" w:hint="eastAsia"/>
          <w:sz w:val="24"/>
        </w:rPr>
        <w:t>董事长、万向信托有限公司董事长、民生通惠资产管理有限公司董事长、通联支付网络服务股份有限公司董事长、通联数据股份公司董事长。</w:t>
      </w:r>
    </w:p>
    <w:p w14:paraId="55D4A17E" w14:textId="77777777" w:rsidR="00485EEA" w:rsidRPr="00C469FC" w:rsidRDefault="00485EEA" w:rsidP="00485EEA">
      <w:pPr>
        <w:spacing w:line="360" w:lineRule="auto"/>
        <w:ind w:firstLineChars="200" w:firstLine="480"/>
        <w:rPr>
          <w:rFonts w:ascii="宋体" w:hAnsi="宋体"/>
          <w:bCs/>
          <w:sz w:val="24"/>
        </w:rPr>
      </w:pPr>
      <w:r w:rsidRPr="00F277DD">
        <w:rPr>
          <w:rFonts w:ascii="宋体" w:hAnsi="宋体" w:hint="eastAsia"/>
          <w:bCs/>
          <w:sz w:val="24"/>
        </w:rPr>
        <w:t>高玮女士，董事，1968年生，浙江大学数学系博士，高级工程师。历任财通证券</w:t>
      </w:r>
      <w:r>
        <w:rPr>
          <w:rFonts w:ascii="宋体" w:hAnsi="宋体" w:hint="eastAsia"/>
          <w:bCs/>
          <w:sz w:val="24"/>
        </w:rPr>
        <w:t>股份</w:t>
      </w:r>
      <w:r w:rsidRPr="00F277DD">
        <w:rPr>
          <w:rFonts w:ascii="宋体" w:hAnsi="宋体" w:hint="eastAsia"/>
          <w:bCs/>
          <w:sz w:val="24"/>
        </w:rPr>
        <w:t>有限公司电脑中心副经理、市场管理总部经理、稽核部经理、职工监事</w:t>
      </w:r>
      <w:r>
        <w:rPr>
          <w:rFonts w:ascii="宋体" w:hAnsi="宋体" w:hint="eastAsia"/>
          <w:bCs/>
          <w:sz w:val="24"/>
        </w:rPr>
        <w:t>；浙商基金管理</w:t>
      </w:r>
      <w:r>
        <w:rPr>
          <w:rFonts w:ascii="宋体" w:hAnsi="宋体"/>
          <w:bCs/>
          <w:sz w:val="24"/>
        </w:rPr>
        <w:t>有限公司董事长。</w:t>
      </w:r>
      <w:r w:rsidRPr="00C469FC">
        <w:rPr>
          <w:rFonts w:ascii="宋体" w:hAnsi="宋体" w:hint="eastAsia"/>
          <w:bCs/>
          <w:sz w:val="24"/>
        </w:rPr>
        <w:t>现任浙商证券</w:t>
      </w:r>
      <w:r>
        <w:rPr>
          <w:rFonts w:ascii="宋体" w:hAnsi="宋体" w:hint="eastAsia"/>
          <w:bCs/>
          <w:sz w:val="24"/>
        </w:rPr>
        <w:t>股份有限</w:t>
      </w:r>
      <w:r w:rsidRPr="00C469FC">
        <w:rPr>
          <w:rFonts w:ascii="宋体" w:hAnsi="宋体" w:hint="eastAsia"/>
          <w:bCs/>
          <w:sz w:val="24"/>
        </w:rPr>
        <w:t>公司合规总监；浙商期货有限公司董事</w:t>
      </w:r>
      <w:r>
        <w:rPr>
          <w:rFonts w:ascii="宋体" w:hAnsi="宋体" w:hint="eastAsia"/>
          <w:bCs/>
          <w:sz w:val="24"/>
        </w:rPr>
        <w:t>；浙江浙商资本管理有限公司董事、</w:t>
      </w:r>
      <w:r>
        <w:rPr>
          <w:rFonts w:ascii="宋体" w:hAnsi="宋体"/>
          <w:bCs/>
          <w:sz w:val="24"/>
        </w:rPr>
        <w:t>浙江浙商证券资产管理有限公司董事</w:t>
      </w:r>
      <w:r>
        <w:rPr>
          <w:rFonts w:ascii="宋体" w:hAnsi="宋体" w:hint="eastAsia"/>
          <w:bCs/>
          <w:sz w:val="24"/>
        </w:rPr>
        <w:t>兼合规风控总监。</w:t>
      </w:r>
    </w:p>
    <w:p w14:paraId="4D235426" w14:textId="77777777" w:rsidR="00DD2567" w:rsidRDefault="00680E4C">
      <w:pPr>
        <w:spacing w:line="360" w:lineRule="auto"/>
        <w:ind w:firstLineChars="200" w:firstLine="480"/>
        <w:rPr>
          <w:rFonts w:ascii="宋体" w:hAnsi="宋体"/>
          <w:bCs/>
          <w:sz w:val="24"/>
        </w:rPr>
      </w:pPr>
      <w:r>
        <w:rPr>
          <w:rFonts w:ascii="宋体" w:hAnsi="宋体" w:hint="eastAsia"/>
          <w:bCs/>
          <w:sz w:val="24"/>
        </w:rPr>
        <w:lastRenderedPageBreak/>
        <w:t>耿小平先生，董事，1948年生，华东政法学院法律专业毕业，中欧国际工商管理学院EMBA，高级经济师。历任浙江省人民检察院副检察长；浙江省高速公路指挥部副指挥；浙江沪杭甬高速公路股份有限公司董事长兼总经理；浙江省交通投资集团有限公司总经理；浙商证券股份有限公司党委书记；浙商证券股份有限公司顾问。现任华北高速公路股份有限公司独立董事。</w:t>
      </w:r>
    </w:p>
    <w:p w14:paraId="5F602599" w14:textId="77777777" w:rsidR="00485EEA" w:rsidRPr="005B3644" w:rsidRDefault="00485EEA" w:rsidP="00485EEA">
      <w:pPr>
        <w:spacing w:line="360" w:lineRule="auto"/>
        <w:ind w:firstLineChars="200" w:firstLine="480"/>
        <w:rPr>
          <w:rFonts w:ascii="宋体" w:hAnsi="宋体"/>
          <w:sz w:val="24"/>
        </w:rPr>
      </w:pPr>
      <w:r w:rsidRPr="00F277DD">
        <w:rPr>
          <w:rFonts w:ascii="宋体" w:hAnsi="宋体" w:hint="eastAsia"/>
          <w:sz w:val="24"/>
        </w:rPr>
        <w:t>李志惠先生，董事，1967年生，经济学博士。历任深圳市住宅局房改处主任科员、助理调研员，深圳市委政策研究室城市处助理调研员、综合处副处长。2004年9月加入博时基金管理有限公司，历任行政及人力资源部副总经理、总裁办公室</w:t>
      </w:r>
      <w:r>
        <w:rPr>
          <w:rFonts w:ascii="宋体" w:hAnsi="宋体" w:hint="eastAsia"/>
          <w:sz w:val="24"/>
        </w:rPr>
        <w:t>总</w:t>
      </w:r>
      <w:r w:rsidRPr="00F277DD">
        <w:rPr>
          <w:rFonts w:ascii="宋体" w:hAnsi="宋体" w:hint="eastAsia"/>
          <w:sz w:val="24"/>
        </w:rPr>
        <w:t>经理</w:t>
      </w:r>
      <w:r>
        <w:rPr>
          <w:rFonts w:ascii="宋体" w:hAnsi="宋体" w:hint="eastAsia"/>
          <w:sz w:val="24"/>
        </w:rPr>
        <w:t>兼</w:t>
      </w:r>
      <w:r w:rsidRPr="00F277DD">
        <w:rPr>
          <w:rFonts w:ascii="宋体" w:hAnsi="宋体" w:hint="eastAsia"/>
          <w:sz w:val="24"/>
        </w:rPr>
        <w:t>董事会秘书、公司</w:t>
      </w:r>
      <w:r>
        <w:rPr>
          <w:rFonts w:ascii="宋体" w:hAnsi="宋体" w:hint="eastAsia"/>
          <w:sz w:val="24"/>
        </w:rPr>
        <w:t>副总裁</w:t>
      </w:r>
      <w:r w:rsidRPr="00F277DD">
        <w:rPr>
          <w:rFonts w:ascii="宋体" w:hAnsi="宋体" w:hint="eastAsia"/>
          <w:sz w:val="24"/>
        </w:rPr>
        <w:t>。</w:t>
      </w:r>
      <w:r w:rsidRPr="00FE49C5">
        <w:rPr>
          <w:rFonts w:ascii="宋体" w:hAnsi="宋体" w:hint="eastAsia"/>
          <w:sz w:val="24"/>
        </w:rPr>
        <w:t>现任浙商基金管理有限公司总经理、上海分公司总经理；上海聚潮资产管理有限公司执行董事。</w:t>
      </w:r>
    </w:p>
    <w:p w14:paraId="3F7FD864" w14:textId="77777777" w:rsidR="00DD2567" w:rsidRDefault="00680E4C">
      <w:pPr>
        <w:spacing w:line="360" w:lineRule="auto"/>
        <w:ind w:firstLineChars="200" w:firstLine="480"/>
        <w:rPr>
          <w:rFonts w:ascii="宋体" w:hAnsi="宋体"/>
          <w:bCs/>
          <w:sz w:val="24"/>
        </w:rPr>
      </w:pPr>
      <w:r>
        <w:rPr>
          <w:rFonts w:ascii="宋体" w:hAnsi="宋体" w:hint="eastAsia"/>
          <w:bCs/>
          <w:sz w:val="24"/>
        </w:rPr>
        <w:t>钟睒睒先生，董事，1954年生，大专。历任养生堂有限公司执行董事兼总经理、董事、董事长；农夫山泉股份有限公司董事长。现任农夫山泉股份有限公司董事长兼总经理。</w:t>
      </w:r>
    </w:p>
    <w:p w14:paraId="269D3D3C" w14:textId="77777777" w:rsidR="00DD2567" w:rsidRDefault="00680E4C">
      <w:pPr>
        <w:spacing w:line="360" w:lineRule="auto"/>
        <w:ind w:firstLineChars="200" w:firstLine="480"/>
        <w:rPr>
          <w:rFonts w:ascii="宋体" w:hAnsi="宋体"/>
          <w:bCs/>
          <w:sz w:val="24"/>
        </w:rPr>
      </w:pPr>
      <w:r>
        <w:rPr>
          <w:rFonts w:ascii="宋体" w:hAnsi="宋体" w:hint="eastAsia"/>
          <w:bCs/>
          <w:sz w:val="24"/>
        </w:rPr>
        <w:t>周一烽先生，董事，1962年生，复旦大学经济系学士、上海社会科学院经济学硕士、美国亚利桑那州立大学凯瑞商学院EMBA。历任上海市社会科学院宏观经济研究室副主任、上海企业发展研究所副所长；广联（南宁）投资有限公司总经理特别助理及证券投资业务负责人；上海广联投资有限公司总经理；中泰信托投资有限责任公司副总裁；大成基金管理有限公司副总经理兼投资总监；浙商基金管理有限公司总经理。</w:t>
      </w:r>
    </w:p>
    <w:p w14:paraId="7942F684" w14:textId="66C8DC97" w:rsidR="00485EEA" w:rsidRPr="005B3644" w:rsidRDefault="00485EEA" w:rsidP="00485EEA">
      <w:pPr>
        <w:spacing w:line="360" w:lineRule="auto"/>
        <w:ind w:firstLineChars="200" w:firstLine="480"/>
        <w:rPr>
          <w:rFonts w:ascii="宋体" w:hAnsi="宋体"/>
          <w:sz w:val="24"/>
        </w:rPr>
      </w:pPr>
      <w:r w:rsidRPr="005B3644">
        <w:rPr>
          <w:rFonts w:ascii="宋体" w:hAnsi="宋体" w:hint="eastAsia"/>
          <w:sz w:val="24"/>
        </w:rPr>
        <w:t>章晓洪先生，独立董事，1973年生，西南政法大学法学硕士、博士。历任浙江天健会计师事务所注册会计师；</w:t>
      </w:r>
      <w:r>
        <w:rPr>
          <w:rFonts w:ascii="宋体" w:hAnsi="宋体" w:hint="eastAsia"/>
          <w:sz w:val="24"/>
        </w:rPr>
        <w:t>现任</w:t>
      </w:r>
      <w:r w:rsidRPr="005B3644">
        <w:rPr>
          <w:rFonts w:ascii="宋体" w:hAnsi="宋体" w:hint="eastAsia"/>
          <w:sz w:val="24"/>
        </w:rPr>
        <w:t>上海市锦天城律师事务所高级合伙人。</w:t>
      </w:r>
    </w:p>
    <w:p w14:paraId="04638CB2" w14:textId="77777777" w:rsidR="00DD2567" w:rsidRDefault="00680E4C">
      <w:pPr>
        <w:spacing w:line="360" w:lineRule="auto"/>
        <w:ind w:firstLineChars="200" w:firstLine="480"/>
        <w:rPr>
          <w:rFonts w:ascii="宋体" w:hAnsi="宋体"/>
          <w:bCs/>
          <w:sz w:val="24"/>
        </w:rPr>
      </w:pPr>
      <w:r>
        <w:rPr>
          <w:rFonts w:ascii="宋体" w:hAnsi="宋体" w:hint="eastAsia"/>
          <w:bCs/>
          <w:sz w:val="24"/>
        </w:rPr>
        <w:t>刘纪鹏先生，独立董事，1956年生，中国社会科学院研究生院工业经济系硕士，高级研究员，高级经济师，注册会计师。历任中国社会科学院工业经济研究所助理研究员；中信国际研究所经济研究室主任；海南航空公司高级经济顾问、首席经济学家；首都经济贸易大学教授、公司研究中心主任。现任中国政法大学资本研究中心主任、教授、博士生导师；财政部财政科学研究所硕士生导师；中国企业改革与发展研究会副会长。</w:t>
      </w:r>
    </w:p>
    <w:p w14:paraId="7A192B47" w14:textId="77777777" w:rsidR="00DD2567" w:rsidRDefault="00680E4C">
      <w:pPr>
        <w:spacing w:line="360" w:lineRule="auto"/>
        <w:ind w:firstLineChars="200" w:firstLine="480"/>
        <w:rPr>
          <w:rFonts w:ascii="宋体" w:hAnsi="宋体"/>
          <w:bCs/>
          <w:sz w:val="24"/>
        </w:rPr>
      </w:pPr>
      <w:r>
        <w:rPr>
          <w:rFonts w:ascii="宋体" w:hAnsi="宋体" w:hint="eastAsia"/>
          <w:bCs/>
          <w:sz w:val="24"/>
        </w:rPr>
        <w:t>金雪军先生，独立董事，1958年生，南开大学经济学硕士。历任浙江大学经济学院副院长等，享受国务院政府特殊津贴。现任浙江大学教授、博士生导师；</w:t>
      </w:r>
      <w:r>
        <w:rPr>
          <w:rFonts w:ascii="宋体" w:hAnsi="宋体" w:hint="eastAsia"/>
          <w:bCs/>
          <w:sz w:val="24"/>
        </w:rPr>
        <w:lastRenderedPageBreak/>
        <w:t>浙江大学公共政策研究院执行院长，浙江省国际金融学会会长；大地期货有限公司独立董事；新湖中宝股份有限公司独立董事；浙江伟星实业发展股份有限公司独立董事；浙江东方集团股份有限公司独立董事；哈尔滨高科技（集团）股份有限公司独立董事；浙商期货有限公司独立董事。</w:t>
      </w:r>
    </w:p>
    <w:p w14:paraId="329E3FD9" w14:textId="77777777" w:rsidR="00DD2567" w:rsidRDefault="00680E4C">
      <w:pPr>
        <w:spacing w:line="360" w:lineRule="auto"/>
        <w:ind w:firstLineChars="200" w:firstLine="480"/>
        <w:rPr>
          <w:rFonts w:ascii="宋体" w:hAnsi="宋体"/>
          <w:bCs/>
          <w:sz w:val="24"/>
        </w:rPr>
      </w:pPr>
      <w:r>
        <w:rPr>
          <w:rFonts w:ascii="宋体" w:hAnsi="宋体" w:hint="eastAsia"/>
          <w:bCs/>
          <w:sz w:val="24"/>
        </w:rPr>
        <w:t>肖幼航女士，独立董事，1963年生，上海财经大学硕士，高级会计师，注册会计师。历任杭州市审计局副主任科员；浙江天健会计师事务所五部副经理、综合部经理；浙江南都电源动力股份有限公司财务总监；浙江中秦房地产开发有限公司副总经理。现任上海龙力能源投资有限公司总裁助理。</w:t>
      </w:r>
    </w:p>
    <w:p w14:paraId="7C0447D0" w14:textId="77777777" w:rsidR="00DD2567" w:rsidRDefault="00680E4C">
      <w:pPr>
        <w:spacing w:line="360" w:lineRule="auto"/>
        <w:ind w:firstLineChars="200" w:firstLine="480"/>
        <w:rPr>
          <w:rFonts w:ascii="宋体" w:hAnsi="宋体"/>
          <w:bCs/>
          <w:sz w:val="24"/>
        </w:rPr>
      </w:pPr>
      <w:r>
        <w:rPr>
          <w:rFonts w:ascii="宋体" w:hAnsi="宋体" w:hint="eastAsia"/>
          <w:bCs/>
          <w:sz w:val="24"/>
        </w:rPr>
        <w:t>2、监事会成员</w:t>
      </w:r>
    </w:p>
    <w:p w14:paraId="4B43EA8D" w14:textId="77777777" w:rsidR="00DD2567" w:rsidRDefault="00680E4C">
      <w:pPr>
        <w:spacing w:line="348" w:lineRule="auto"/>
        <w:ind w:firstLineChars="200" w:firstLine="480"/>
        <w:rPr>
          <w:rFonts w:ascii="宋体" w:hAnsi="宋体"/>
          <w:sz w:val="24"/>
        </w:rPr>
      </w:pPr>
      <w:r>
        <w:rPr>
          <w:rFonts w:ascii="宋体" w:hAnsi="宋体" w:hint="eastAsia"/>
          <w:sz w:val="24"/>
        </w:rPr>
        <w:t>王平玉先生，监事，1951年生，大专，经济师。历任建设银行杭州分行科长、支行行长、党组副书记、副行长。现任养生堂有限公司总经济师。</w:t>
      </w:r>
    </w:p>
    <w:p w14:paraId="078A03F5" w14:textId="77777777" w:rsidR="00DD2567" w:rsidRDefault="00680E4C">
      <w:pPr>
        <w:spacing w:line="348" w:lineRule="auto"/>
        <w:ind w:firstLineChars="200" w:firstLine="480"/>
        <w:rPr>
          <w:rFonts w:ascii="宋体" w:hAnsi="宋体"/>
          <w:sz w:val="24"/>
        </w:rPr>
      </w:pPr>
      <w:r>
        <w:rPr>
          <w:rFonts w:ascii="宋体" w:hAnsi="宋体" w:hint="eastAsia"/>
          <w:sz w:val="24"/>
        </w:rPr>
        <w:t>赵琦女士，监事，1971年生，大学本科，注册会计师。历任通联资本管理有限公司副总裁。现任中国万向控股有限公司财务管理部执行总经理。</w:t>
      </w:r>
    </w:p>
    <w:p w14:paraId="54C69496" w14:textId="4B10554B" w:rsidR="00DD2567" w:rsidRDefault="00680E4C">
      <w:pPr>
        <w:spacing w:line="360" w:lineRule="auto"/>
        <w:ind w:firstLineChars="200" w:firstLine="480"/>
        <w:rPr>
          <w:rFonts w:ascii="宋体" w:hAnsi="宋体"/>
          <w:sz w:val="24"/>
        </w:rPr>
      </w:pPr>
      <w:r>
        <w:rPr>
          <w:rFonts w:ascii="宋体" w:hAnsi="宋体" w:hint="eastAsia"/>
          <w:sz w:val="24"/>
        </w:rPr>
        <w:t>谢志强先生，职工监事，1981年生，厦门大学金融学专业学士、硕士，特许金融分析师（CFA），金融风险管理师（FRM）。历任浙江证监局稽查处副主任科员、主任科员，曾借调中国证监会稽查局工作。现任浙商基金管理有限公司监察稽核部</w:t>
      </w:r>
      <w:r w:rsidR="00C826D7">
        <w:rPr>
          <w:rFonts w:ascii="宋体" w:hAnsi="宋体" w:hint="eastAsia"/>
          <w:sz w:val="24"/>
        </w:rPr>
        <w:t>总经理</w:t>
      </w:r>
      <w:r>
        <w:rPr>
          <w:rFonts w:ascii="宋体" w:hAnsi="宋体" w:hint="eastAsia"/>
          <w:sz w:val="24"/>
        </w:rPr>
        <w:t>。</w:t>
      </w:r>
    </w:p>
    <w:p w14:paraId="613F1C60" w14:textId="3E7A6F99" w:rsidR="00DD2567" w:rsidRDefault="00C826D7" w:rsidP="00725F28">
      <w:pPr>
        <w:spacing w:line="348" w:lineRule="auto"/>
        <w:ind w:firstLineChars="200" w:firstLine="480"/>
        <w:rPr>
          <w:rFonts w:ascii="宋体" w:hAnsi="宋体"/>
          <w:sz w:val="24"/>
        </w:rPr>
      </w:pPr>
      <w:r w:rsidRPr="00B62CC7">
        <w:rPr>
          <w:rFonts w:ascii="宋体" w:hAnsi="宋体" w:hint="eastAsia"/>
          <w:sz w:val="24"/>
        </w:rPr>
        <w:t>高远女士，职工监事，1986年生，复旦大学经济学系学士。曾任安永华明会计师事务所审计员，2009年加入浙商基金管理有限公司，现任综合管理部总经理</w:t>
      </w:r>
      <w:r>
        <w:rPr>
          <w:rFonts w:ascii="宋体" w:hAnsi="宋体" w:hint="eastAsia"/>
          <w:sz w:val="24"/>
        </w:rPr>
        <w:t>。</w:t>
      </w:r>
    </w:p>
    <w:p w14:paraId="4D307F91" w14:textId="77777777" w:rsidR="00DD2567" w:rsidRDefault="00680E4C">
      <w:pPr>
        <w:spacing w:line="360" w:lineRule="auto"/>
        <w:ind w:firstLineChars="200" w:firstLine="480"/>
        <w:rPr>
          <w:rFonts w:ascii="宋体" w:hAnsi="宋体"/>
          <w:bCs/>
          <w:sz w:val="24"/>
        </w:rPr>
      </w:pPr>
      <w:r>
        <w:rPr>
          <w:rFonts w:ascii="宋体" w:hAnsi="宋体" w:hint="eastAsia"/>
          <w:bCs/>
          <w:sz w:val="24"/>
        </w:rPr>
        <w:t>3、公司高管人员</w:t>
      </w:r>
    </w:p>
    <w:p w14:paraId="6294AE34" w14:textId="77777777" w:rsidR="00C826D7" w:rsidRDefault="00C826D7" w:rsidP="00C826D7">
      <w:pPr>
        <w:spacing w:line="360" w:lineRule="auto"/>
        <w:ind w:firstLineChars="200" w:firstLine="480"/>
        <w:rPr>
          <w:rFonts w:ascii="宋体" w:hAnsi="宋体"/>
          <w:bCs/>
          <w:sz w:val="24"/>
        </w:rPr>
      </w:pPr>
      <w:r>
        <w:rPr>
          <w:rFonts w:ascii="宋体" w:hAnsi="宋体" w:hint="eastAsia"/>
          <w:bCs/>
          <w:sz w:val="24"/>
        </w:rPr>
        <w:t>李志惠</w:t>
      </w:r>
      <w:r w:rsidRPr="00F277DD">
        <w:rPr>
          <w:rFonts w:ascii="宋体" w:hAnsi="宋体" w:hint="eastAsia"/>
          <w:bCs/>
          <w:sz w:val="24"/>
        </w:rPr>
        <w:t>先生，总经理，简历同上。</w:t>
      </w:r>
    </w:p>
    <w:p w14:paraId="7AAECD04" w14:textId="0F7823F9" w:rsidR="00DD2567" w:rsidRDefault="00680E4C">
      <w:pPr>
        <w:spacing w:line="360" w:lineRule="auto"/>
        <w:ind w:firstLineChars="200" w:firstLine="480"/>
        <w:rPr>
          <w:rFonts w:ascii="宋体" w:hAnsi="宋体"/>
          <w:bCs/>
          <w:sz w:val="24"/>
        </w:rPr>
      </w:pPr>
      <w:r>
        <w:rPr>
          <w:rFonts w:ascii="宋体" w:hAnsi="宋体" w:hint="eastAsia"/>
          <w:bCs/>
          <w:sz w:val="24"/>
        </w:rPr>
        <w:t>聂挺进先生，副总经理，1979年生，南开大学世界经济专业硕士。历任招商局国际有限公司项目经理；博时基金管理有限公司投资总监、基金经理。</w:t>
      </w:r>
    </w:p>
    <w:p w14:paraId="1EFC04A5" w14:textId="0F08B145" w:rsidR="00DD2567" w:rsidRDefault="00680E4C">
      <w:pPr>
        <w:spacing w:line="360" w:lineRule="auto"/>
        <w:ind w:firstLineChars="200" w:firstLine="480"/>
        <w:rPr>
          <w:rFonts w:ascii="宋体" w:hAnsi="宋体"/>
          <w:bCs/>
          <w:sz w:val="24"/>
        </w:rPr>
      </w:pPr>
      <w:r>
        <w:rPr>
          <w:rFonts w:ascii="宋体" w:hAnsi="宋体" w:hint="eastAsia"/>
          <w:bCs/>
          <w:sz w:val="24"/>
        </w:rPr>
        <w:t>沈阳女士，副总经理，1979年生，南开大学EMBA。历任恒生投资管理有限公司研究员、博时基金管理有限公司机构理财部总经理。</w:t>
      </w:r>
    </w:p>
    <w:p w14:paraId="454B00E3" w14:textId="77777777" w:rsidR="00485EEA" w:rsidRPr="00C469FC" w:rsidRDefault="00485EEA" w:rsidP="00485EEA">
      <w:pPr>
        <w:spacing w:line="360" w:lineRule="auto"/>
        <w:ind w:firstLineChars="200" w:firstLine="480"/>
        <w:rPr>
          <w:rFonts w:ascii="宋体" w:hAnsi="宋体"/>
          <w:bCs/>
          <w:sz w:val="24"/>
        </w:rPr>
      </w:pPr>
      <w:r w:rsidRPr="00126461">
        <w:rPr>
          <w:rFonts w:ascii="宋体" w:hAnsi="宋体" w:hint="eastAsia"/>
          <w:bCs/>
          <w:sz w:val="24"/>
        </w:rPr>
        <w:t>郭乐琦女士，督察长，1980年生，南开大学法学硕士。曾任北京中伦律师事务所上海分所律师、平安信托投资有限责任公司中台风控、北京市柳沈律师事务所律师、上海嘉路律师事务所主任律师及合伙人、平安集团投资管理委员会投资管理中心、CIO办公室PE投资管理经理。</w:t>
      </w:r>
    </w:p>
    <w:p w14:paraId="376642F7" w14:textId="77777777" w:rsidR="00DD2567" w:rsidRDefault="00680E4C">
      <w:pPr>
        <w:spacing w:line="360" w:lineRule="auto"/>
        <w:ind w:firstLineChars="200" w:firstLine="480"/>
        <w:rPr>
          <w:rFonts w:ascii="宋体" w:hAnsi="宋体"/>
          <w:bCs/>
          <w:sz w:val="24"/>
        </w:rPr>
      </w:pPr>
      <w:r>
        <w:rPr>
          <w:rFonts w:ascii="宋体" w:hAnsi="宋体" w:hint="eastAsia"/>
          <w:bCs/>
          <w:sz w:val="24"/>
        </w:rPr>
        <w:lastRenderedPageBreak/>
        <w:t>4、本基金基金经理</w:t>
      </w:r>
    </w:p>
    <w:p w14:paraId="6923CFDA" w14:textId="7DC9F7C4" w:rsidR="00485EEA" w:rsidRDefault="00485EEA" w:rsidP="00485EEA">
      <w:pPr>
        <w:spacing w:line="348" w:lineRule="auto"/>
        <w:ind w:firstLineChars="200" w:firstLine="480"/>
        <w:rPr>
          <w:rFonts w:ascii="宋体" w:hAnsi="宋体"/>
          <w:bCs/>
          <w:sz w:val="24"/>
        </w:rPr>
      </w:pPr>
      <w:r w:rsidRPr="0080354B">
        <w:rPr>
          <w:rFonts w:ascii="宋体" w:hAnsi="宋体" w:hint="eastAsia"/>
          <w:bCs/>
          <w:sz w:val="24"/>
        </w:rPr>
        <w:t>吕文晔先生，1983年生，英国华威大学过程工</w:t>
      </w:r>
      <w:r>
        <w:rPr>
          <w:rFonts w:ascii="宋体" w:hAnsi="宋体" w:hint="eastAsia"/>
          <w:bCs/>
          <w:sz w:val="24"/>
        </w:rPr>
        <w:t>程和商业管理硕士。曾任平安资产管理有限责任公司交易部债券交易员</w:t>
      </w:r>
      <w:r w:rsidRPr="0080354B">
        <w:rPr>
          <w:rFonts w:ascii="宋体" w:hAnsi="宋体" w:hint="eastAsia"/>
          <w:bCs/>
          <w:sz w:val="24"/>
        </w:rPr>
        <w:t>。</w:t>
      </w:r>
      <w:r w:rsidR="00C826D7" w:rsidRPr="0080354B">
        <w:rPr>
          <w:rFonts w:ascii="宋体" w:hAnsi="宋体" w:hint="eastAsia"/>
          <w:bCs/>
          <w:sz w:val="24"/>
        </w:rPr>
        <w:t>现任</w:t>
      </w:r>
      <w:r w:rsidR="00C826D7">
        <w:rPr>
          <w:rFonts w:ascii="宋体" w:hAnsi="宋体" w:hint="eastAsia"/>
          <w:bCs/>
          <w:sz w:val="24"/>
        </w:rPr>
        <w:t>浙商</w:t>
      </w:r>
      <w:r w:rsidR="00C826D7">
        <w:rPr>
          <w:rFonts w:ascii="宋体" w:hAnsi="宋体"/>
          <w:bCs/>
          <w:sz w:val="24"/>
        </w:rPr>
        <w:t>基金管理有限公司</w:t>
      </w:r>
      <w:r w:rsidR="00C826D7" w:rsidRPr="0080354B">
        <w:rPr>
          <w:rFonts w:ascii="宋体" w:hAnsi="宋体" w:hint="eastAsia"/>
          <w:bCs/>
          <w:sz w:val="24"/>
        </w:rPr>
        <w:t>固定收益部基金经理、浙商日添利货币市场基金、浙商聚盈信用债债券型证券投资基金、浙商惠盈纯债债券型证券投资基金、浙商聚潮</w:t>
      </w:r>
      <w:r w:rsidR="00C826D7">
        <w:rPr>
          <w:rFonts w:ascii="宋体" w:hAnsi="宋体" w:hint="eastAsia"/>
          <w:bCs/>
          <w:sz w:val="24"/>
        </w:rPr>
        <w:t>策略配置混合型证券投资基金、</w:t>
      </w:r>
      <w:r w:rsidR="00C826D7" w:rsidRPr="009359FB">
        <w:rPr>
          <w:rFonts w:ascii="宋体" w:hAnsi="宋体" w:hint="eastAsia"/>
          <w:bCs/>
          <w:sz w:val="24"/>
        </w:rPr>
        <w:t>浙商聚潮灵活配置混合型证券投资基金、浙商惠丰定</w:t>
      </w:r>
      <w:r w:rsidR="00C826D7">
        <w:rPr>
          <w:rFonts w:ascii="宋体" w:hAnsi="宋体" w:hint="eastAsia"/>
          <w:bCs/>
          <w:sz w:val="24"/>
        </w:rPr>
        <w:t>期开放债券型证券投资基金、浙商惠享纯债债券型证券投资基金、浙商惠裕</w:t>
      </w:r>
      <w:r w:rsidR="00C826D7" w:rsidRPr="009359FB">
        <w:rPr>
          <w:rFonts w:ascii="宋体" w:hAnsi="宋体" w:hint="eastAsia"/>
          <w:bCs/>
          <w:sz w:val="24"/>
        </w:rPr>
        <w:t>纯债债券型证券投资基金、浙商惠利纯债债券型证券投资基金基金经理</w:t>
      </w:r>
      <w:r w:rsidR="00C826D7" w:rsidRPr="0080354B">
        <w:rPr>
          <w:rFonts w:ascii="宋体" w:hAnsi="宋体" w:hint="eastAsia"/>
          <w:bCs/>
          <w:sz w:val="24"/>
        </w:rPr>
        <w:t>。</w:t>
      </w:r>
    </w:p>
    <w:p w14:paraId="2AB8FDC5" w14:textId="77777777" w:rsidR="00DD2567" w:rsidRDefault="00680E4C">
      <w:pPr>
        <w:spacing w:line="348" w:lineRule="auto"/>
        <w:ind w:firstLineChars="200" w:firstLine="480"/>
        <w:rPr>
          <w:rFonts w:ascii="宋体" w:hAnsi="宋体"/>
          <w:bCs/>
          <w:sz w:val="24"/>
        </w:rPr>
      </w:pPr>
      <w:r>
        <w:rPr>
          <w:rFonts w:ascii="宋体" w:hAnsi="宋体" w:hint="eastAsia"/>
          <w:bCs/>
          <w:sz w:val="24"/>
        </w:rPr>
        <w:t>5、投资决策委员会成员</w:t>
      </w:r>
    </w:p>
    <w:p w14:paraId="15EC3C92" w14:textId="77777777" w:rsidR="00DD2567" w:rsidRDefault="00680E4C">
      <w:pPr>
        <w:spacing w:line="348" w:lineRule="auto"/>
        <w:ind w:firstLineChars="200" w:firstLine="480"/>
        <w:rPr>
          <w:rFonts w:ascii="宋体" w:hAnsi="宋体"/>
          <w:bCs/>
          <w:sz w:val="24"/>
        </w:rPr>
      </w:pPr>
      <w:r>
        <w:rPr>
          <w:rFonts w:ascii="宋体" w:hAnsi="宋体" w:hint="eastAsia"/>
          <w:bCs/>
          <w:sz w:val="24"/>
        </w:rPr>
        <w:t>聂挺进先生，投资决策委员会主席，简历同上。</w:t>
      </w:r>
    </w:p>
    <w:p w14:paraId="01185775" w14:textId="2E766AF8" w:rsidR="00DD2567" w:rsidRDefault="00DD2567" w:rsidP="005B107A">
      <w:pPr>
        <w:spacing w:line="348" w:lineRule="auto"/>
        <w:ind w:firstLineChars="200" w:firstLine="480"/>
        <w:rPr>
          <w:rFonts w:ascii="宋体" w:hAnsi="宋体"/>
          <w:bCs/>
          <w:sz w:val="24"/>
        </w:rPr>
      </w:pPr>
      <w:r w:rsidRPr="00DD2567">
        <w:rPr>
          <w:rFonts w:ascii="宋体" w:hAnsi="宋体" w:hint="eastAsia"/>
          <w:bCs/>
          <w:sz w:val="24"/>
        </w:rPr>
        <w:t>唐桦先生，投资决策委员会委员，1980年生，上海财经大学国际金融硕士。历任博时基金管理有限公司研究员、基金经理。现任浙商基金管理有限公司</w:t>
      </w:r>
      <w:r w:rsidR="007277F2">
        <w:rPr>
          <w:rFonts w:ascii="宋体" w:hAnsi="宋体" w:hint="eastAsia"/>
          <w:bCs/>
          <w:sz w:val="24"/>
        </w:rPr>
        <w:t>股票投资</w:t>
      </w:r>
      <w:r w:rsidRPr="00DD2567">
        <w:rPr>
          <w:rFonts w:ascii="宋体" w:hAnsi="宋体" w:hint="eastAsia"/>
          <w:bCs/>
          <w:sz w:val="24"/>
        </w:rPr>
        <w:t>部</w:t>
      </w:r>
      <w:r w:rsidR="003F1B1C">
        <w:rPr>
          <w:rFonts w:ascii="宋体" w:hAnsi="宋体" w:hint="eastAsia"/>
          <w:bCs/>
          <w:sz w:val="24"/>
        </w:rPr>
        <w:t>总经理</w:t>
      </w:r>
      <w:r w:rsidR="007277F2" w:rsidRPr="007277F2">
        <w:rPr>
          <w:rFonts w:ascii="宋体" w:hAnsi="宋体" w:hint="eastAsia"/>
          <w:bCs/>
          <w:sz w:val="24"/>
        </w:rPr>
        <w:t>,浙商聚潮产业成长混合型证券投资基金基金经理</w:t>
      </w:r>
      <w:r w:rsidRPr="00DD2567">
        <w:rPr>
          <w:rFonts w:ascii="宋体" w:hAnsi="宋体" w:hint="eastAsia"/>
          <w:bCs/>
          <w:sz w:val="24"/>
        </w:rPr>
        <w:t>。</w:t>
      </w:r>
    </w:p>
    <w:p w14:paraId="1DDFD1D0" w14:textId="77777777" w:rsidR="00485EEA" w:rsidRPr="00C6511B" w:rsidRDefault="00485EEA" w:rsidP="00485EEA">
      <w:pPr>
        <w:spacing w:line="360" w:lineRule="auto"/>
        <w:ind w:firstLineChars="200" w:firstLine="480"/>
        <w:rPr>
          <w:rFonts w:hAnsi="宋体"/>
          <w:sz w:val="24"/>
          <w:szCs w:val="24"/>
        </w:rPr>
      </w:pPr>
      <w:r w:rsidRPr="00C6511B">
        <w:rPr>
          <w:rFonts w:hAnsi="宋体" w:hint="eastAsia"/>
          <w:sz w:val="24"/>
          <w:szCs w:val="24"/>
        </w:rPr>
        <w:t>黄颖峰先生，</w:t>
      </w:r>
      <w:r w:rsidRPr="00C6511B">
        <w:rPr>
          <w:rFonts w:ascii="宋体" w:hAnsi="宋体" w:hint="eastAsia"/>
          <w:sz w:val="24"/>
          <w:szCs w:val="24"/>
        </w:rPr>
        <w:t>投资决策委员会委员，</w:t>
      </w:r>
      <w:r w:rsidRPr="00C6511B">
        <w:rPr>
          <w:rFonts w:ascii="宋体" w:hAnsi="宋体"/>
          <w:sz w:val="24"/>
          <w:szCs w:val="24"/>
        </w:rPr>
        <w:t>1978年生，上海财经大学经济学硕士。历任</w:t>
      </w:r>
      <w:r w:rsidRPr="00C6511B">
        <w:rPr>
          <w:rFonts w:hint="eastAsia"/>
          <w:sz w:val="24"/>
          <w:szCs w:val="24"/>
        </w:rPr>
        <w:t>华宸未来基金管理有限公司投研部交易总监、高级研究员。</w:t>
      </w:r>
      <w:r w:rsidRPr="00C6511B">
        <w:rPr>
          <w:rFonts w:ascii="宋体" w:hAnsi="宋体" w:hint="eastAsia"/>
          <w:sz w:val="24"/>
          <w:szCs w:val="24"/>
        </w:rPr>
        <w:t>现任浙商基金</w:t>
      </w:r>
      <w:r w:rsidRPr="00C6511B">
        <w:rPr>
          <w:rFonts w:hAnsi="宋体" w:hint="eastAsia"/>
          <w:sz w:val="24"/>
          <w:szCs w:val="24"/>
        </w:rPr>
        <w:t>管理有限公司中央交易室交易总</w:t>
      </w:r>
      <w:r>
        <w:rPr>
          <w:rFonts w:hAnsi="宋体" w:hint="eastAsia"/>
          <w:sz w:val="24"/>
          <w:szCs w:val="24"/>
        </w:rPr>
        <w:t>经理</w:t>
      </w:r>
      <w:r w:rsidRPr="00C6511B">
        <w:rPr>
          <w:rFonts w:hAnsi="宋体" w:hint="eastAsia"/>
          <w:sz w:val="24"/>
          <w:szCs w:val="24"/>
        </w:rPr>
        <w:t>。</w:t>
      </w:r>
    </w:p>
    <w:p w14:paraId="2E80D5C8" w14:textId="367FF45A" w:rsidR="00485EEA" w:rsidRDefault="00485EEA" w:rsidP="00485EEA">
      <w:pPr>
        <w:spacing w:line="348" w:lineRule="auto"/>
        <w:ind w:firstLineChars="200" w:firstLine="480"/>
        <w:rPr>
          <w:rFonts w:ascii="宋体" w:hAnsi="宋体"/>
          <w:bCs/>
          <w:sz w:val="24"/>
        </w:rPr>
      </w:pPr>
      <w:r w:rsidRPr="00C6511B">
        <w:rPr>
          <w:rFonts w:hAnsi="宋体" w:hint="eastAsia"/>
          <w:sz w:val="24"/>
          <w:szCs w:val="24"/>
        </w:rPr>
        <w:t>查晓磊先生，投资决策委员会委员</w:t>
      </w:r>
      <w:r>
        <w:rPr>
          <w:rFonts w:hAnsi="宋体" w:hint="eastAsia"/>
          <w:sz w:val="24"/>
          <w:szCs w:val="24"/>
        </w:rPr>
        <w:t>，</w:t>
      </w:r>
      <w:r>
        <w:rPr>
          <w:rFonts w:ascii="宋体" w:hAnsi="宋体"/>
          <w:bCs/>
          <w:sz w:val="24"/>
        </w:rPr>
        <w:t>1982年生，曾</w:t>
      </w:r>
      <w:r w:rsidR="003F1B1C">
        <w:rPr>
          <w:rFonts w:ascii="宋体" w:hAnsi="宋体"/>
          <w:bCs/>
          <w:sz w:val="24"/>
        </w:rPr>
        <w:t>任</w:t>
      </w:r>
      <w:r>
        <w:rPr>
          <w:rFonts w:ascii="宋体" w:hAnsi="宋体"/>
          <w:bCs/>
          <w:sz w:val="24"/>
        </w:rPr>
        <w:t>香港中文大学中国金融发展与改革研究中心核心研究院，博时基金博士后工作站研究</w:t>
      </w:r>
      <w:r>
        <w:rPr>
          <w:rFonts w:ascii="宋体" w:hAnsi="宋体" w:hint="eastAsia"/>
          <w:bCs/>
          <w:sz w:val="24"/>
        </w:rPr>
        <w:t>员</w:t>
      </w:r>
      <w:r>
        <w:rPr>
          <w:rFonts w:ascii="宋体" w:hAnsi="宋体"/>
          <w:bCs/>
          <w:sz w:val="24"/>
        </w:rPr>
        <w:t>、博士基金管理有限公司投资策略及大宗商品分析师兼投资经理助理。现任</w:t>
      </w:r>
      <w:r>
        <w:rPr>
          <w:rFonts w:ascii="宋体" w:hAnsi="宋体" w:hint="eastAsia"/>
          <w:bCs/>
          <w:sz w:val="24"/>
        </w:rPr>
        <w:t>浙商</w:t>
      </w:r>
      <w:r>
        <w:rPr>
          <w:rFonts w:ascii="宋体" w:hAnsi="宋体"/>
          <w:bCs/>
          <w:sz w:val="24"/>
        </w:rPr>
        <w:t>基金管理有限公司衍生品及</w:t>
      </w:r>
      <w:r>
        <w:rPr>
          <w:rFonts w:ascii="宋体" w:hAnsi="宋体" w:hint="eastAsia"/>
          <w:bCs/>
          <w:sz w:val="24"/>
        </w:rPr>
        <w:t>量化</w:t>
      </w:r>
      <w:r w:rsidR="00C826D7">
        <w:rPr>
          <w:rFonts w:ascii="宋体" w:hAnsi="宋体"/>
          <w:bCs/>
          <w:sz w:val="24"/>
        </w:rPr>
        <w:t>投资部</w:t>
      </w:r>
      <w:r>
        <w:rPr>
          <w:rFonts w:ascii="宋体" w:hAnsi="宋体"/>
          <w:bCs/>
          <w:sz w:val="24"/>
        </w:rPr>
        <w:t>总经理，浙商沪深300指数分级证券投资基金、浙商聚潮策略配置混合型证券投资基金基金经理。</w:t>
      </w:r>
    </w:p>
    <w:p w14:paraId="5E8924A9" w14:textId="77777777" w:rsidR="00DD2567" w:rsidRDefault="00680E4C">
      <w:pPr>
        <w:spacing w:line="348" w:lineRule="auto"/>
        <w:ind w:firstLineChars="200" w:firstLine="480"/>
        <w:rPr>
          <w:rFonts w:ascii="宋体" w:hAnsi="宋体"/>
          <w:bCs/>
          <w:sz w:val="24"/>
        </w:rPr>
      </w:pPr>
      <w:r>
        <w:rPr>
          <w:rFonts w:ascii="宋体" w:hAnsi="宋体" w:hint="eastAsia"/>
          <w:bCs/>
          <w:sz w:val="24"/>
        </w:rPr>
        <w:t>6、上述人员之间均不存在近亲属关系。</w:t>
      </w:r>
    </w:p>
    <w:p w14:paraId="4E50405F" w14:textId="77777777" w:rsidR="00DD2567" w:rsidRDefault="00680E4C">
      <w:pPr>
        <w:spacing w:line="348" w:lineRule="auto"/>
        <w:ind w:firstLineChars="200" w:firstLine="480"/>
        <w:rPr>
          <w:rFonts w:ascii="宋体" w:hAnsi="宋体"/>
          <w:sz w:val="24"/>
        </w:rPr>
      </w:pPr>
      <w:r>
        <w:rPr>
          <w:rFonts w:ascii="宋体" w:hAnsi="宋体" w:hint="eastAsia"/>
          <w:sz w:val="24"/>
        </w:rPr>
        <w:t>三、基金管理人的职责</w:t>
      </w:r>
    </w:p>
    <w:p w14:paraId="77C25DEA" w14:textId="77777777" w:rsidR="00DD2567" w:rsidRDefault="00680E4C">
      <w:pPr>
        <w:spacing w:line="348" w:lineRule="auto"/>
        <w:ind w:firstLineChars="200" w:firstLine="480"/>
        <w:rPr>
          <w:rFonts w:ascii="宋体" w:hAnsi="宋体"/>
          <w:sz w:val="24"/>
        </w:rPr>
      </w:pPr>
      <w:r>
        <w:rPr>
          <w:rFonts w:ascii="宋体" w:hAnsi="宋体" w:hint="eastAsia"/>
          <w:sz w:val="24"/>
        </w:rPr>
        <w:t>按照《基金法》，基金管理人必须履行以下职责：</w:t>
      </w:r>
    </w:p>
    <w:p w14:paraId="7699DF4D" w14:textId="77777777" w:rsidR="00DD2567" w:rsidRDefault="00680E4C">
      <w:pPr>
        <w:spacing w:line="348" w:lineRule="auto"/>
        <w:ind w:firstLineChars="200" w:firstLine="480"/>
        <w:rPr>
          <w:rFonts w:ascii="宋体" w:hAnsi="宋体"/>
          <w:sz w:val="24"/>
        </w:rPr>
      </w:pPr>
      <w:r>
        <w:rPr>
          <w:rFonts w:ascii="宋体" w:hAnsi="宋体" w:hint="eastAsia"/>
          <w:sz w:val="24"/>
        </w:rPr>
        <w:t>1、依法募集资金，办理或者委托经中国证监会认定的其他机构代为办理基金份额的发售、申购、赎回和登记事宜；</w:t>
      </w:r>
    </w:p>
    <w:p w14:paraId="08189293" w14:textId="77777777" w:rsidR="00DD2567" w:rsidRDefault="00680E4C">
      <w:pPr>
        <w:spacing w:line="348" w:lineRule="auto"/>
        <w:ind w:firstLineChars="200" w:firstLine="480"/>
        <w:rPr>
          <w:rFonts w:ascii="宋体" w:hAnsi="宋体"/>
          <w:sz w:val="24"/>
        </w:rPr>
      </w:pPr>
      <w:r>
        <w:rPr>
          <w:rFonts w:ascii="宋体" w:hAnsi="宋体" w:hint="eastAsia"/>
          <w:sz w:val="24"/>
        </w:rPr>
        <w:t>2、办理基金备案手续；</w:t>
      </w:r>
    </w:p>
    <w:p w14:paraId="31BBBFC9" w14:textId="77777777" w:rsidR="00DD2567" w:rsidRDefault="00680E4C">
      <w:pPr>
        <w:spacing w:line="348" w:lineRule="auto"/>
        <w:ind w:firstLineChars="200" w:firstLine="480"/>
        <w:rPr>
          <w:rFonts w:ascii="宋体" w:hAnsi="宋体"/>
          <w:sz w:val="24"/>
        </w:rPr>
      </w:pPr>
      <w:r>
        <w:rPr>
          <w:rFonts w:ascii="宋体" w:hAnsi="宋体" w:hint="eastAsia"/>
          <w:sz w:val="24"/>
        </w:rPr>
        <w:t>3、对所管理的不同基金财产分别管理、分别记账，进行证券投资；</w:t>
      </w:r>
    </w:p>
    <w:p w14:paraId="0AB94635" w14:textId="77777777" w:rsidR="00DD2567" w:rsidRDefault="00680E4C">
      <w:pPr>
        <w:spacing w:line="348" w:lineRule="auto"/>
        <w:ind w:firstLineChars="200" w:firstLine="480"/>
        <w:rPr>
          <w:rFonts w:ascii="宋体" w:hAnsi="宋体"/>
          <w:sz w:val="24"/>
        </w:rPr>
      </w:pPr>
      <w:r>
        <w:rPr>
          <w:rFonts w:ascii="宋体" w:hAnsi="宋体" w:hint="eastAsia"/>
          <w:sz w:val="24"/>
        </w:rPr>
        <w:t>4、按照基金合同的约定确定基金收益分配方案，及时向基金份额持有人分配收益；</w:t>
      </w:r>
    </w:p>
    <w:p w14:paraId="00C71DF9" w14:textId="77777777" w:rsidR="00DD2567" w:rsidRDefault="00680E4C">
      <w:pPr>
        <w:spacing w:line="348" w:lineRule="auto"/>
        <w:ind w:firstLineChars="200" w:firstLine="480"/>
        <w:rPr>
          <w:rFonts w:ascii="宋体" w:hAnsi="宋体"/>
          <w:sz w:val="24"/>
        </w:rPr>
      </w:pPr>
      <w:r>
        <w:rPr>
          <w:rFonts w:ascii="宋体" w:hAnsi="宋体" w:hint="eastAsia"/>
          <w:sz w:val="24"/>
        </w:rPr>
        <w:lastRenderedPageBreak/>
        <w:t>5、进行基金会计核算并编制基金财务会计报告；</w:t>
      </w:r>
    </w:p>
    <w:p w14:paraId="71D58E34" w14:textId="77777777" w:rsidR="00DD2567" w:rsidRDefault="00680E4C">
      <w:pPr>
        <w:spacing w:line="348" w:lineRule="auto"/>
        <w:ind w:firstLineChars="200" w:firstLine="480"/>
        <w:rPr>
          <w:rFonts w:ascii="宋体" w:hAnsi="宋体"/>
          <w:sz w:val="24"/>
        </w:rPr>
      </w:pPr>
      <w:r>
        <w:rPr>
          <w:rFonts w:ascii="宋体" w:hAnsi="宋体" w:hint="eastAsia"/>
          <w:sz w:val="24"/>
        </w:rPr>
        <w:t>6、编制季度、半年度和年度基金报告；</w:t>
      </w:r>
    </w:p>
    <w:p w14:paraId="28BD5C4D" w14:textId="77777777" w:rsidR="00DD2567" w:rsidRDefault="00680E4C">
      <w:pPr>
        <w:spacing w:line="348" w:lineRule="auto"/>
        <w:ind w:firstLineChars="200" w:firstLine="480"/>
        <w:rPr>
          <w:rFonts w:ascii="宋体" w:hAnsi="宋体"/>
          <w:sz w:val="24"/>
        </w:rPr>
      </w:pPr>
      <w:r>
        <w:rPr>
          <w:rFonts w:ascii="宋体" w:hAnsi="宋体" w:hint="eastAsia"/>
          <w:sz w:val="24"/>
        </w:rPr>
        <w:t>7、计算并公告基金资产净值，确定基金份额申购、赎回价格；</w:t>
      </w:r>
    </w:p>
    <w:p w14:paraId="038ABB49" w14:textId="77777777" w:rsidR="00DD2567" w:rsidRDefault="00680E4C">
      <w:pPr>
        <w:spacing w:line="348" w:lineRule="auto"/>
        <w:ind w:firstLineChars="200" w:firstLine="480"/>
        <w:rPr>
          <w:rFonts w:ascii="宋体" w:hAnsi="宋体"/>
          <w:sz w:val="24"/>
        </w:rPr>
      </w:pPr>
      <w:r>
        <w:rPr>
          <w:rFonts w:ascii="宋体" w:hAnsi="宋体" w:hint="eastAsia"/>
          <w:sz w:val="24"/>
        </w:rPr>
        <w:t>8、办理与基金财产管理业务活动有关的信息披露事项；</w:t>
      </w:r>
    </w:p>
    <w:p w14:paraId="7C3F93AB" w14:textId="77777777" w:rsidR="00DD2567" w:rsidRDefault="00680E4C">
      <w:pPr>
        <w:spacing w:line="348" w:lineRule="auto"/>
        <w:ind w:firstLineChars="200" w:firstLine="480"/>
        <w:rPr>
          <w:rFonts w:ascii="宋体" w:hAnsi="宋体"/>
          <w:sz w:val="24"/>
        </w:rPr>
      </w:pPr>
      <w:r>
        <w:rPr>
          <w:rFonts w:ascii="宋体" w:hAnsi="宋体" w:hint="eastAsia"/>
          <w:sz w:val="24"/>
        </w:rPr>
        <w:t>9、按照规定召集基金份额持有人大会；</w:t>
      </w:r>
    </w:p>
    <w:p w14:paraId="2E10F125" w14:textId="77777777" w:rsidR="00DD2567" w:rsidRDefault="00680E4C">
      <w:pPr>
        <w:spacing w:line="348" w:lineRule="auto"/>
        <w:ind w:firstLineChars="200" w:firstLine="480"/>
        <w:rPr>
          <w:rFonts w:ascii="宋体" w:hAnsi="宋体"/>
          <w:sz w:val="24"/>
        </w:rPr>
      </w:pPr>
      <w:r>
        <w:rPr>
          <w:rFonts w:ascii="宋体" w:hAnsi="宋体" w:hint="eastAsia"/>
          <w:sz w:val="24"/>
        </w:rPr>
        <w:t>10、保存基金财产管理业务活动的记录、账册、报表和其他相关资料；</w:t>
      </w:r>
    </w:p>
    <w:p w14:paraId="5AFFF32E" w14:textId="77777777" w:rsidR="00DD2567" w:rsidRDefault="00680E4C">
      <w:pPr>
        <w:spacing w:line="360" w:lineRule="auto"/>
        <w:ind w:firstLineChars="200" w:firstLine="480"/>
        <w:rPr>
          <w:rFonts w:ascii="宋体" w:hAnsi="宋体"/>
          <w:sz w:val="24"/>
        </w:rPr>
      </w:pPr>
      <w:r>
        <w:rPr>
          <w:rFonts w:ascii="宋体" w:hAnsi="宋体" w:hint="eastAsia"/>
          <w:sz w:val="24"/>
        </w:rPr>
        <w:t>11、以基金管理人名义，代表基金份额持有人利益行使诉讼权利或者实施其他法律行为；</w:t>
      </w:r>
    </w:p>
    <w:p w14:paraId="28210447" w14:textId="77777777" w:rsidR="00DD2567" w:rsidRDefault="00680E4C">
      <w:pPr>
        <w:spacing w:line="360" w:lineRule="auto"/>
        <w:ind w:firstLineChars="200" w:firstLine="480"/>
        <w:rPr>
          <w:rFonts w:ascii="宋体" w:hAnsi="宋体"/>
          <w:sz w:val="24"/>
        </w:rPr>
      </w:pPr>
      <w:r>
        <w:rPr>
          <w:rFonts w:ascii="宋体" w:hAnsi="宋体" w:hint="eastAsia"/>
          <w:sz w:val="24"/>
        </w:rPr>
        <w:t>12、法律法规及中国证监会规定的和基金合同约定的其他职责。</w:t>
      </w:r>
    </w:p>
    <w:p w14:paraId="15ADE619" w14:textId="77777777" w:rsidR="00DD2567" w:rsidRDefault="00680E4C">
      <w:pPr>
        <w:spacing w:line="360" w:lineRule="auto"/>
        <w:ind w:firstLineChars="200" w:firstLine="480"/>
        <w:rPr>
          <w:rFonts w:ascii="宋体" w:hAnsi="宋体"/>
          <w:sz w:val="24"/>
        </w:rPr>
      </w:pPr>
      <w:r>
        <w:rPr>
          <w:rFonts w:ascii="宋体" w:hAnsi="宋体" w:hint="eastAsia"/>
          <w:sz w:val="24"/>
        </w:rPr>
        <w:t>四、基金管理人的承诺</w:t>
      </w:r>
    </w:p>
    <w:p w14:paraId="4B60F970" w14:textId="77777777" w:rsidR="00DD2567" w:rsidRDefault="00680E4C">
      <w:pPr>
        <w:spacing w:line="360" w:lineRule="auto"/>
        <w:ind w:firstLineChars="200" w:firstLine="480"/>
        <w:rPr>
          <w:rFonts w:ascii="宋体" w:hAnsi="宋体"/>
          <w:sz w:val="24"/>
        </w:rPr>
      </w:pPr>
      <w:r>
        <w:rPr>
          <w:rFonts w:ascii="宋体" w:hAnsi="宋体" w:hint="eastAsia"/>
          <w:sz w:val="24"/>
        </w:rPr>
        <w:t>1、基金管理人承诺严格遵守《证券法》、《基金法》、《运作办法》、《销售办法》、《信息披露办法》等法律法规的相关规定，并承诺建立健全内部控制制度，采取有效措施，防止违法违规行为的发生；</w:t>
      </w:r>
    </w:p>
    <w:p w14:paraId="624E2BE8" w14:textId="77777777" w:rsidR="00DD2567" w:rsidRDefault="00680E4C">
      <w:pPr>
        <w:spacing w:line="360" w:lineRule="auto"/>
        <w:ind w:firstLineChars="200" w:firstLine="480"/>
        <w:rPr>
          <w:rFonts w:ascii="宋体" w:hAnsi="宋体"/>
          <w:sz w:val="24"/>
        </w:rPr>
      </w:pPr>
      <w:r>
        <w:rPr>
          <w:rFonts w:ascii="宋体" w:hAnsi="宋体" w:hint="eastAsia"/>
          <w:sz w:val="24"/>
        </w:rPr>
        <w:t>2、基金管理人承诺防止下列行为的发生：</w:t>
      </w:r>
    </w:p>
    <w:p w14:paraId="6BF74489" w14:textId="77777777" w:rsidR="00DD2567" w:rsidRDefault="00680E4C">
      <w:pPr>
        <w:spacing w:line="360" w:lineRule="auto"/>
        <w:ind w:firstLineChars="200" w:firstLine="480"/>
        <w:rPr>
          <w:rFonts w:ascii="宋体" w:hAnsi="宋体"/>
          <w:sz w:val="24"/>
        </w:rPr>
      </w:pPr>
      <w:r>
        <w:rPr>
          <w:rFonts w:ascii="宋体" w:hAnsi="宋体" w:hint="eastAsia"/>
          <w:sz w:val="24"/>
        </w:rPr>
        <w:t>（1）将基金管理人固有财产或者他人财产混同于基金财产从事证券投资；</w:t>
      </w:r>
    </w:p>
    <w:p w14:paraId="080D3322" w14:textId="77777777" w:rsidR="00DD2567" w:rsidRDefault="00680E4C">
      <w:pPr>
        <w:spacing w:line="360" w:lineRule="auto"/>
        <w:ind w:firstLineChars="200" w:firstLine="480"/>
        <w:rPr>
          <w:rFonts w:ascii="宋体" w:hAnsi="宋体"/>
          <w:sz w:val="24"/>
        </w:rPr>
      </w:pPr>
      <w:r>
        <w:rPr>
          <w:rFonts w:ascii="宋体" w:hAnsi="宋体" w:hint="eastAsia"/>
          <w:sz w:val="24"/>
        </w:rPr>
        <w:t>（2）不公平地对待其管理的不同基金财产；</w:t>
      </w:r>
    </w:p>
    <w:p w14:paraId="7D6F6076" w14:textId="77777777" w:rsidR="00DD2567" w:rsidRDefault="00680E4C">
      <w:pPr>
        <w:spacing w:line="360" w:lineRule="auto"/>
        <w:ind w:firstLineChars="200" w:firstLine="480"/>
        <w:rPr>
          <w:rFonts w:ascii="宋体" w:hAnsi="宋体"/>
          <w:sz w:val="24"/>
        </w:rPr>
      </w:pPr>
      <w:r>
        <w:rPr>
          <w:rFonts w:ascii="宋体" w:hAnsi="宋体" w:hint="eastAsia"/>
          <w:sz w:val="24"/>
        </w:rPr>
        <w:t>（3）利用基金财产或者职务之便为基金份额持有人以外的第三人牟取利益；</w:t>
      </w:r>
    </w:p>
    <w:p w14:paraId="34D48927" w14:textId="77777777" w:rsidR="00DD2567" w:rsidRDefault="00680E4C">
      <w:pPr>
        <w:spacing w:line="360" w:lineRule="auto"/>
        <w:ind w:firstLineChars="200" w:firstLine="480"/>
        <w:rPr>
          <w:rFonts w:ascii="宋体" w:hAnsi="宋体"/>
          <w:sz w:val="24"/>
        </w:rPr>
      </w:pPr>
      <w:r>
        <w:rPr>
          <w:rFonts w:ascii="宋体" w:hAnsi="宋体" w:hint="eastAsia"/>
          <w:sz w:val="24"/>
        </w:rPr>
        <w:t>（4）向基金份额持有人违规承诺收益或者承担损失；</w:t>
      </w:r>
    </w:p>
    <w:p w14:paraId="589E616D" w14:textId="77777777" w:rsidR="00DD2567" w:rsidRDefault="00680E4C">
      <w:pPr>
        <w:spacing w:line="360" w:lineRule="auto"/>
        <w:ind w:firstLineChars="200" w:firstLine="480"/>
        <w:rPr>
          <w:rFonts w:ascii="宋体" w:hAnsi="宋体"/>
          <w:sz w:val="24"/>
        </w:rPr>
      </w:pPr>
      <w:r>
        <w:rPr>
          <w:rFonts w:ascii="宋体" w:hAnsi="宋体" w:hint="eastAsia"/>
          <w:sz w:val="24"/>
        </w:rPr>
        <w:t>（5）侵占、挪用基金财产；</w:t>
      </w:r>
    </w:p>
    <w:p w14:paraId="4F0C7EA5" w14:textId="77777777" w:rsidR="00DD2567" w:rsidRDefault="00680E4C">
      <w:pPr>
        <w:spacing w:line="360" w:lineRule="auto"/>
        <w:ind w:firstLineChars="200" w:firstLine="480"/>
        <w:rPr>
          <w:rFonts w:ascii="宋体" w:hAnsi="宋体"/>
          <w:sz w:val="24"/>
        </w:rPr>
      </w:pPr>
      <w:r>
        <w:rPr>
          <w:rFonts w:ascii="宋体" w:hAnsi="宋体" w:hint="eastAsia"/>
          <w:sz w:val="24"/>
        </w:rPr>
        <w:t>（6）泄露因职务便利获取的未公开信息、利用该信息从事或者明示、暗示他人从事相关的交易活动；</w:t>
      </w:r>
    </w:p>
    <w:p w14:paraId="2D6356EF" w14:textId="77777777" w:rsidR="00DD2567" w:rsidRDefault="00680E4C">
      <w:pPr>
        <w:spacing w:line="360" w:lineRule="auto"/>
        <w:ind w:firstLineChars="200" w:firstLine="480"/>
        <w:rPr>
          <w:rFonts w:ascii="宋体" w:hAnsi="宋体"/>
          <w:sz w:val="24"/>
        </w:rPr>
      </w:pPr>
      <w:r>
        <w:rPr>
          <w:rFonts w:ascii="宋体" w:hAnsi="宋体" w:hint="eastAsia"/>
          <w:sz w:val="24"/>
        </w:rPr>
        <w:t>（7）玩忽职守，不按照规定履行职责；</w:t>
      </w:r>
    </w:p>
    <w:p w14:paraId="570AE43E" w14:textId="77777777" w:rsidR="00DD2567" w:rsidRDefault="00680E4C">
      <w:pPr>
        <w:spacing w:line="360" w:lineRule="auto"/>
        <w:ind w:firstLineChars="200" w:firstLine="480"/>
        <w:rPr>
          <w:rFonts w:ascii="宋体" w:hAnsi="宋体"/>
          <w:sz w:val="24"/>
        </w:rPr>
      </w:pPr>
      <w:r>
        <w:rPr>
          <w:rFonts w:ascii="宋体" w:hAnsi="宋体" w:hint="eastAsia"/>
          <w:sz w:val="24"/>
        </w:rPr>
        <w:t>（8）依照法律、行政法规有关规定，由中国证监会规定禁止的其他行为。</w:t>
      </w:r>
    </w:p>
    <w:p w14:paraId="57E2FB0F" w14:textId="77777777" w:rsidR="00DD2567" w:rsidRDefault="00680E4C">
      <w:pPr>
        <w:spacing w:line="360" w:lineRule="auto"/>
        <w:ind w:firstLineChars="200" w:firstLine="480"/>
        <w:rPr>
          <w:rFonts w:ascii="宋体" w:hAnsi="宋体"/>
          <w:sz w:val="24"/>
        </w:rPr>
      </w:pPr>
      <w:r>
        <w:rPr>
          <w:rFonts w:ascii="宋体" w:hAnsi="宋体" w:hint="eastAsia"/>
          <w:sz w:val="24"/>
        </w:rPr>
        <w:t>3、基金管理人承诺加强人员管理，强化职业操守，督促和约束员工遵守国家有关法律、法规及行业规范，诚实信用、勤勉尽责，不从事以下活动：</w:t>
      </w:r>
    </w:p>
    <w:p w14:paraId="39C654CD" w14:textId="77777777" w:rsidR="00DD2567" w:rsidRDefault="00680E4C">
      <w:pPr>
        <w:spacing w:line="360" w:lineRule="auto"/>
        <w:ind w:firstLineChars="200" w:firstLine="480"/>
        <w:rPr>
          <w:rFonts w:ascii="宋体" w:hAnsi="宋体"/>
          <w:sz w:val="24"/>
        </w:rPr>
      </w:pPr>
      <w:r>
        <w:rPr>
          <w:rFonts w:ascii="宋体" w:hAnsi="宋体" w:hint="eastAsia"/>
          <w:sz w:val="24"/>
        </w:rPr>
        <w:t>（1）越权或违规经营；</w:t>
      </w:r>
    </w:p>
    <w:p w14:paraId="08B01AF6" w14:textId="77777777" w:rsidR="00DD2567" w:rsidRDefault="00680E4C">
      <w:pPr>
        <w:spacing w:line="360" w:lineRule="auto"/>
        <w:ind w:firstLineChars="200" w:firstLine="480"/>
        <w:rPr>
          <w:rFonts w:ascii="宋体" w:hAnsi="宋体"/>
          <w:sz w:val="24"/>
        </w:rPr>
      </w:pPr>
      <w:r>
        <w:rPr>
          <w:rFonts w:ascii="宋体" w:hAnsi="宋体" w:hint="eastAsia"/>
          <w:sz w:val="24"/>
        </w:rPr>
        <w:t>（2）违反基金合同或托管协议；</w:t>
      </w:r>
    </w:p>
    <w:p w14:paraId="670704B7" w14:textId="77777777" w:rsidR="00DD2567" w:rsidRDefault="00680E4C">
      <w:pPr>
        <w:spacing w:line="360" w:lineRule="auto"/>
        <w:ind w:firstLineChars="200" w:firstLine="480"/>
        <w:rPr>
          <w:rFonts w:ascii="宋体" w:hAnsi="宋体"/>
          <w:sz w:val="24"/>
        </w:rPr>
      </w:pPr>
      <w:r>
        <w:rPr>
          <w:rFonts w:ascii="宋体" w:hAnsi="宋体" w:hint="eastAsia"/>
          <w:sz w:val="24"/>
        </w:rPr>
        <w:t>（3）故意损害基金份额持有人或其他基金相关机构的合法权益；</w:t>
      </w:r>
    </w:p>
    <w:p w14:paraId="134CC6E9" w14:textId="77777777" w:rsidR="00DD2567" w:rsidRDefault="00680E4C">
      <w:pPr>
        <w:spacing w:line="360" w:lineRule="auto"/>
        <w:ind w:firstLineChars="200" w:firstLine="480"/>
        <w:rPr>
          <w:rFonts w:ascii="宋体" w:hAnsi="宋体"/>
          <w:sz w:val="24"/>
        </w:rPr>
      </w:pPr>
      <w:r>
        <w:rPr>
          <w:rFonts w:ascii="宋体" w:hAnsi="宋体" w:hint="eastAsia"/>
          <w:sz w:val="24"/>
        </w:rPr>
        <w:t>（4）在向中国证监会报送的资料中弄虚作假；</w:t>
      </w:r>
    </w:p>
    <w:p w14:paraId="037797BD" w14:textId="77777777" w:rsidR="00DD2567" w:rsidRDefault="00680E4C">
      <w:pPr>
        <w:spacing w:line="360" w:lineRule="auto"/>
        <w:ind w:firstLineChars="200" w:firstLine="480"/>
        <w:rPr>
          <w:rFonts w:ascii="宋体" w:hAnsi="宋体"/>
          <w:sz w:val="24"/>
        </w:rPr>
      </w:pPr>
      <w:r>
        <w:rPr>
          <w:rFonts w:ascii="宋体" w:hAnsi="宋体" w:hint="eastAsia"/>
          <w:sz w:val="24"/>
        </w:rPr>
        <w:t>（5）拒绝、干扰、阻挠或严重影响中国证监会依法监管；</w:t>
      </w:r>
    </w:p>
    <w:p w14:paraId="1E04DEE4" w14:textId="77777777" w:rsidR="00DD2567" w:rsidRDefault="00680E4C">
      <w:pPr>
        <w:spacing w:line="360" w:lineRule="auto"/>
        <w:ind w:firstLineChars="200" w:firstLine="480"/>
        <w:rPr>
          <w:rFonts w:ascii="宋体" w:hAnsi="宋体"/>
          <w:sz w:val="24"/>
        </w:rPr>
      </w:pPr>
      <w:r>
        <w:rPr>
          <w:rFonts w:ascii="宋体" w:hAnsi="宋体" w:hint="eastAsia"/>
          <w:sz w:val="24"/>
        </w:rPr>
        <w:lastRenderedPageBreak/>
        <w:t>（6）玩忽职守、滥用职权；</w:t>
      </w:r>
    </w:p>
    <w:p w14:paraId="3BE79144" w14:textId="77777777" w:rsidR="00DD2567" w:rsidRDefault="00680E4C">
      <w:pPr>
        <w:spacing w:line="360" w:lineRule="auto"/>
        <w:ind w:firstLineChars="200" w:firstLine="480"/>
        <w:rPr>
          <w:rFonts w:ascii="宋体" w:hAnsi="宋体"/>
          <w:sz w:val="24"/>
        </w:rPr>
      </w:pPr>
      <w:r>
        <w:rPr>
          <w:rFonts w:ascii="宋体" w:hAnsi="宋体" w:hint="eastAsia"/>
          <w:sz w:val="24"/>
        </w:rPr>
        <w:t>（7）违反现行有效的有关法律法规、基金合同和中国证监会的有关规定，泄露在任职期间知悉的有关证券、基金的商业秘密、尚未依法公开的基金投资内容、基金投资计划等信息；</w:t>
      </w:r>
    </w:p>
    <w:p w14:paraId="3DBCBFA3" w14:textId="77777777" w:rsidR="00DD2567" w:rsidRDefault="00680E4C">
      <w:pPr>
        <w:spacing w:line="360" w:lineRule="auto"/>
        <w:ind w:firstLineChars="200" w:firstLine="480"/>
        <w:rPr>
          <w:rFonts w:ascii="宋体" w:hAnsi="宋体"/>
          <w:sz w:val="24"/>
        </w:rPr>
      </w:pPr>
      <w:r>
        <w:rPr>
          <w:rFonts w:ascii="宋体" w:hAnsi="宋体" w:hint="eastAsia"/>
          <w:sz w:val="24"/>
        </w:rPr>
        <w:t>（8）除按基金管理人制度进行基金运作投资外，直接或间接进行其他股票投资；</w:t>
      </w:r>
    </w:p>
    <w:p w14:paraId="0D109334" w14:textId="77777777" w:rsidR="00DD2567" w:rsidRDefault="00680E4C">
      <w:pPr>
        <w:spacing w:line="360" w:lineRule="auto"/>
        <w:ind w:firstLineChars="200" w:firstLine="480"/>
        <w:rPr>
          <w:rFonts w:ascii="宋体" w:hAnsi="宋体"/>
          <w:sz w:val="24"/>
        </w:rPr>
      </w:pPr>
      <w:r>
        <w:rPr>
          <w:rFonts w:ascii="宋体" w:hAnsi="宋体" w:hint="eastAsia"/>
          <w:sz w:val="24"/>
        </w:rPr>
        <w:t>（9）协助、接受委托或以其他任何形式为其他组织或个人进行证券交易；</w:t>
      </w:r>
    </w:p>
    <w:p w14:paraId="4FEBF434" w14:textId="77777777" w:rsidR="00DD2567" w:rsidRDefault="00680E4C">
      <w:pPr>
        <w:spacing w:line="360" w:lineRule="auto"/>
        <w:ind w:firstLineChars="200" w:firstLine="480"/>
        <w:rPr>
          <w:rFonts w:ascii="宋体" w:hAnsi="宋体"/>
          <w:sz w:val="24"/>
        </w:rPr>
      </w:pPr>
      <w:r>
        <w:rPr>
          <w:rFonts w:ascii="宋体" w:hAnsi="宋体" w:hint="eastAsia"/>
          <w:sz w:val="24"/>
        </w:rPr>
        <w:t>（10）违反证券交易场所业务规则，利用对敲倒、对仓等手段操纵市场价格，扰乱市场秩序；</w:t>
      </w:r>
    </w:p>
    <w:p w14:paraId="2A043F37" w14:textId="77777777" w:rsidR="00DD2567" w:rsidRDefault="00680E4C">
      <w:pPr>
        <w:spacing w:line="360" w:lineRule="auto"/>
        <w:ind w:firstLineChars="200" w:firstLine="480"/>
        <w:rPr>
          <w:rFonts w:ascii="宋体" w:hAnsi="宋体"/>
          <w:sz w:val="24"/>
        </w:rPr>
      </w:pPr>
      <w:r>
        <w:rPr>
          <w:rFonts w:ascii="宋体" w:hAnsi="宋体" w:hint="eastAsia"/>
          <w:sz w:val="24"/>
        </w:rPr>
        <w:t>（11）贬损同行，以提高自己；</w:t>
      </w:r>
    </w:p>
    <w:p w14:paraId="7FF9F007" w14:textId="77777777" w:rsidR="00DD2567" w:rsidRDefault="00680E4C">
      <w:pPr>
        <w:spacing w:line="360" w:lineRule="auto"/>
        <w:ind w:firstLineChars="200" w:firstLine="480"/>
        <w:rPr>
          <w:rFonts w:ascii="宋体" w:hAnsi="宋体"/>
          <w:sz w:val="24"/>
        </w:rPr>
      </w:pPr>
      <w:r>
        <w:rPr>
          <w:rFonts w:ascii="宋体" w:hAnsi="宋体" w:hint="eastAsia"/>
          <w:sz w:val="24"/>
        </w:rPr>
        <w:t>（12）在公开信息披露和广告中故意含有虚假、误导、欺诈成分；</w:t>
      </w:r>
    </w:p>
    <w:p w14:paraId="327A2E96" w14:textId="77777777" w:rsidR="00DD2567" w:rsidRDefault="00680E4C">
      <w:pPr>
        <w:spacing w:line="360" w:lineRule="auto"/>
        <w:ind w:firstLineChars="200" w:firstLine="480"/>
        <w:rPr>
          <w:rFonts w:ascii="宋体" w:hAnsi="宋体"/>
          <w:sz w:val="24"/>
        </w:rPr>
      </w:pPr>
      <w:r>
        <w:rPr>
          <w:rFonts w:ascii="宋体" w:hAnsi="宋体" w:hint="eastAsia"/>
          <w:sz w:val="24"/>
        </w:rPr>
        <w:t>（13）以不正当手段谋求业务发展；</w:t>
      </w:r>
    </w:p>
    <w:p w14:paraId="1459F5A7" w14:textId="77777777" w:rsidR="00DD2567" w:rsidRDefault="00680E4C">
      <w:pPr>
        <w:spacing w:line="360" w:lineRule="auto"/>
        <w:ind w:firstLineChars="200" w:firstLine="480"/>
        <w:rPr>
          <w:rFonts w:ascii="宋体" w:hAnsi="宋体"/>
          <w:sz w:val="24"/>
        </w:rPr>
      </w:pPr>
      <w:r>
        <w:rPr>
          <w:rFonts w:ascii="宋体" w:hAnsi="宋体" w:hint="eastAsia"/>
          <w:sz w:val="24"/>
        </w:rPr>
        <w:t>（14）有悖社会公德，损害证券投资基金人员形象；</w:t>
      </w:r>
    </w:p>
    <w:p w14:paraId="5A31D43E" w14:textId="77777777" w:rsidR="00DD2567" w:rsidRDefault="00680E4C">
      <w:pPr>
        <w:spacing w:line="360" w:lineRule="auto"/>
        <w:ind w:firstLineChars="200" w:firstLine="480"/>
        <w:rPr>
          <w:rFonts w:ascii="宋体" w:hAnsi="宋体"/>
          <w:sz w:val="24"/>
        </w:rPr>
      </w:pPr>
      <w:r>
        <w:rPr>
          <w:rFonts w:ascii="宋体" w:hAnsi="宋体" w:hint="eastAsia"/>
          <w:sz w:val="24"/>
        </w:rPr>
        <w:t>（15）其他法律法规禁止的行为。</w:t>
      </w:r>
    </w:p>
    <w:p w14:paraId="44A840CA" w14:textId="77777777" w:rsidR="00DD2567" w:rsidRDefault="00680E4C">
      <w:pPr>
        <w:spacing w:line="360" w:lineRule="auto"/>
        <w:ind w:firstLineChars="200" w:firstLine="480"/>
        <w:rPr>
          <w:rFonts w:ascii="宋体" w:hAnsi="宋体"/>
          <w:sz w:val="24"/>
        </w:rPr>
      </w:pPr>
      <w:r>
        <w:rPr>
          <w:rFonts w:ascii="宋体" w:hAnsi="宋体" w:hint="eastAsia"/>
          <w:sz w:val="24"/>
        </w:rPr>
        <w:t>4、基金管理人关于禁止性行为的承诺</w:t>
      </w:r>
    </w:p>
    <w:p w14:paraId="05CA5F4D" w14:textId="77777777" w:rsidR="00DD2567" w:rsidRDefault="00680E4C">
      <w:pPr>
        <w:spacing w:line="360" w:lineRule="auto"/>
        <w:ind w:firstLineChars="200" w:firstLine="480"/>
        <w:rPr>
          <w:rFonts w:ascii="宋体" w:hAnsi="宋体"/>
          <w:sz w:val="24"/>
        </w:rPr>
      </w:pPr>
      <w:r>
        <w:rPr>
          <w:rFonts w:ascii="宋体" w:hAnsi="宋体" w:hint="eastAsia"/>
          <w:sz w:val="24"/>
        </w:rPr>
        <w:t>为维护基金份额持有人的合法权益，本基金禁止从事下列行为：</w:t>
      </w:r>
    </w:p>
    <w:p w14:paraId="3FB6BF40" w14:textId="77777777" w:rsidR="00DD2567" w:rsidRDefault="00680E4C">
      <w:pPr>
        <w:spacing w:line="360" w:lineRule="auto"/>
        <w:ind w:firstLineChars="200" w:firstLine="480"/>
        <w:rPr>
          <w:rFonts w:ascii="宋体" w:hAnsi="宋体"/>
          <w:sz w:val="24"/>
        </w:rPr>
      </w:pPr>
      <w:r>
        <w:rPr>
          <w:rFonts w:ascii="宋体" w:hAnsi="宋体" w:hint="eastAsia"/>
          <w:sz w:val="24"/>
        </w:rPr>
        <w:t>（1）承销证券；</w:t>
      </w:r>
    </w:p>
    <w:p w14:paraId="60D3CF84" w14:textId="77777777" w:rsidR="00DD2567" w:rsidRDefault="00680E4C">
      <w:pPr>
        <w:spacing w:line="360" w:lineRule="auto"/>
        <w:ind w:firstLineChars="200" w:firstLine="480"/>
        <w:rPr>
          <w:rFonts w:ascii="宋体" w:hAnsi="宋体"/>
          <w:sz w:val="24"/>
        </w:rPr>
      </w:pPr>
      <w:r>
        <w:rPr>
          <w:rFonts w:ascii="宋体" w:hAnsi="宋体" w:hint="eastAsia"/>
          <w:sz w:val="24"/>
        </w:rPr>
        <w:t>（2）</w:t>
      </w:r>
      <w:r>
        <w:rPr>
          <w:rFonts w:ascii="宋体" w:hAnsi="宋体" w:hint="eastAsia"/>
          <w:bCs/>
          <w:sz w:val="24"/>
        </w:rPr>
        <w:t>违反规定</w:t>
      </w:r>
      <w:r>
        <w:rPr>
          <w:rFonts w:ascii="宋体" w:hAnsi="宋体" w:hint="eastAsia"/>
          <w:sz w:val="24"/>
        </w:rPr>
        <w:t>向他人贷款或者提供担保；</w:t>
      </w:r>
    </w:p>
    <w:p w14:paraId="38CCEFEB" w14:textId="77777777" w:rsidR="00DD2567" w:rsidRDefault="00680E4C">
      <w:pPr>
        <w:spacing w:line="360" w:lineRule="auto"/>
        <w:ind w:firstLineChars="200" w:firstLine="480"/>
        <w:rPr>
          <w:rFonts w:ascii="宋体" w:hAnsi="宋体"/>
          <w:sz w:val="24"/>
        </w:rPr>
      </w:pPr>
      <w:r>
        <w:rPr>
          <w:rFonts w:ascii="宋体" w:hAnsi="宋体" w:hint="eastAsia"/>
          <w:sz w:val="24"/>
        </w:rPr>
        <w:t>（3）从事承担无限责任的投资；</w:t>
      </w:r>
    </w:p>
    <w:p w14:paraId="291CD29B" w14:textId="77777777" w:rsidR="00DD2567" w:rsidRDefault="00680E4C">
      <w:pPr>
        <w:spacing w:line="360" w:lineRule="auto"/>
        <w:ind w:firstLineChars="200" w:firstLine="480"/>
        <w:rPr>
          <w:rFonts w:ascii="宋体" w:hAnsi="宋体"/>
          <w:sz w:val="24"/>
        </w:rPr>
      </w:pPr>
      <w:r>
        <w:rPr>
          <w:rFonts w:ascii="宋体" w:hAnsi="宋体" w:hint="eastAsia"/>
          <w:sz w:val="24"/>
        </w:rPr>
        <w:t>（4）买卖其他基金份额，但是</w:t>
      </w:r>
      <w:r>
        <w:rPr>
          <w:rFonts w:ascii="宋体" w:hAnsi="宋体" w:hint="eastAsia"/>
          <w:bCs/>
          <w:sz w:val="24"/>
        </w:rPr>
        <w:t>中国证监会</w:t>
      </w:r>
      <w:r>
        <w:rPr>
          <w:rFonts w:ascii="宋体" w:hAnsi="宋体" w:hint="eastAsia"/>
          <w:sz w:val="24"/>
        </w:rPr>
        <w:t>另有规定的除外；</w:t>
      </w:r>
    </w:p>
    <w:p w14:paraId="51C83BAE" w14:textId="77777777" w:rsidR="00DD2567" w:rsidRDefault="00680E4C">
      <w:pPr>
        <w:spacing w:line="360" w:lineRule="auto"/>
        <w:ind w:firstLineChars="200" w:firstLine="480"/>
        <w:rPr>
          <w:rFonts w:ascii="宋体" w:hAnsi="宋体"/>
          <w:sz w:val="24"/>
        </w:rPr>
      </w:pPr>
      <w:r>
        <w:rPr>
          <w:rFonts w:ascii="宋体" w:hAnsi="宋体" w:hint="eastAsia"/>
          <w:sz w:val="24"/>
        </w:rPr>
        <w:t>（5）向基金管理人、基金托管人出资；</w:t>
      </w:r>
    </w:p>
    <w:p w14:paraId="09A664F8" w14:textId="77777777" w:rsidR="00DD2567" w:rsidRDefault="00680E4C">
      <w:pPr>
        <w:spacing w:line="360" w:lineRule="auto"/>
        <w:ind w:firstLineChars="200" w:firstLine="480"/>
        <w:rPr>
          <w:rFonts w:ascii="宋体" w:hAnsi="宋体"/>
          <w:sz w:val="24"/>
        </w:rPr>
      </w:pPr>
      <w:r>
        <w:rPr>
          <w:rFonts w:ascii="宋体" w:hAnsi="宋体" w:hint="eastAsia"/>
          <w:sz w:val="24"/>
        </w:rPr>
        <w:t>（6）从事内幕交易、操纵证券交易价格及其他不正当的证券交易活动；</w:t>
      </w:r>
    </w:p>
    <w:p w14:paraId="4F7C4101" w14:textId="77777777" w:rsidR="00DD2567" w:rsidRDefault="00680E4C">
      <w:pPr>
        <w:spacing w:line="360" w:lineRule="auto"/>
        <w:ind w:firstLineChars="200" w:firstLine="480"/>
        <w:rPr>
          <w:rFonts w:ascii="宋体" w:hAnsi="宋体"/>
          <w:sz w:val="24"/>
        </w:rPr>
      </w:pPr>
      <w:r>
        <w:rPr>
          <w:rFonts w:ascii="宋体" w:hAnsi="宋体" w:hint="eastAsia"/>
          <w:sz w:val="24"/>
        </w:rPr>
        <w:t>（7）依照法律</w:t>
      </w:r>
      <w:r>
        <w:rPr>
          <w:rFonts w:ascii="宋体" w:hAnsi="宋体" w:hint="eastAsia"/>
          <w:bCs/>
          <w:sz w:val="24"/>
        </w:rPr>
        <w:t>、行政</w:t>
      </w:r>
      <w:r>
        <w:rPr>
          <w:rFonts w:ascii="宋体" w:hAnsi="宋体" w:hint="eastAsia"/>
          <w:sz w:val="24"/>
        </w:rPr>
        <w:t>法规</w:t>
      </w:r>
      <w:r>
        <w:rPr>
          <w:rFonts w:ascii="宋体" w:hAnsi="宋体" w:hint="eastAsia"/>
          <w:bCs/>
          <w:sz w:val="24"/>
        </w:rPr>
        <w:t>和</w:t>
      </w:r>
      <w:r>
        <w:rPr>
          <w:rFonts w:ascii="宋体" w:hAnsi="宋体" w:hint="eastAsia"/>
          <w:sz w:val="24"/>
        </w:rPr>
        <w:t>中国证监会规定禁止的其他活动。</w:t>
      </w:r>
    </w:p>
    <w:p w14:paraId="6CD6A511" w14:textId="77777777" w:rsidR="00DD2567" w:rsidRDefault="00680E4C">
      <w:pPr>
        <w:spacing w:line="360" w:lineRule="auto"/>
        <w:ind w:firstLineChars="200" w:firstLine="480"/>
        <w:rPr>
          <w:rFonts w:ascii="宋体" w:hAnsi="宋体"/>
          <w:sz w:val="24"/>
        </w:rPr>
      </w:pPr>
      <w:r>
        <w:rPr>
          <w:rFonts w:ascii="宋体" w:hAnsi="宋体"/>
          <w:sz w:val="24"/>
        </w:rPr>
        <w:t>法律</w:t>
      </w:r>
      <w:r>
        <w:rPr>
          <w:rFonts w:ascii="宋体" w:hAnsi="宋体" w:hint="eastAsia"/>
          <w:bCs/>
          <w:sz w:val="24"/>
        </w:rPr>
        <w:t>、行政</w:t>
      </w:r>
      <w:r>
        <w:rPr>
          <w:rFonts w:ascii="宋体" w:hAnsi="宋体"/>
          <w:sz w:val="24"/>
        </w:rPr>
        <w:t>法规或监管部门</w:t>
      </w:r>
      <w:r>
        <w:rPr>
          <w:rFonts w:ascii="宋体" w:hAnsi="宋体" w:hint="eastAsia"/>
          <w:sz w:val="24"/>
        </w:rPr>
        <w:t>取消上述禁止性规定，</w:t>
      </w:r>
      <w:r>
        <w:rPr>
          <w:rFonts w:ascii="宋体" w:hAnsi="宋体" w:hint="eastAsia"/>
          <w:bCs/>
          <w:sz w:val="24"/>
        </w:rPr>
        <w:t>如适用于本基金，则</w:t>
      </w:r>
      <w:r>
        <w:rPr>
          <w:rFonts w:ascii="宋体" w:hAnsi="宋体" w:hint="eastAsia"/>
          <w:sz w:val="24"/>
        </w:rPr>
        <w:t>本基金管理人在履行适当程序后可不受上述规定的限制</w:t>
      </w:r>
      <w:r>
        <w:rPr>
          <w:rFonts w:ascii="宋体" w:hAnsi="宋体"/>
          <w:sz w:val="24"/>
        </w:rPr>
        <w:t>。</w:t>
      </w:r>
    </w:p>
    <w:p w14:paraId="018777FD" w14:textId="77777777" w:rsidR="00DD2567" w:rsidRDefault="00680E4C">
      <w:pPr>
        <w:spacing w:line="360" w:lineRule="auto"/>
        <w:ind w:firstLineChars="200" w:firstLine="480"/>
        <w:rPr>
          <w:rFonts w:ascii="宋体" w:hAnsi="宋体"/>
          <w:sz w:val="24"/>
        </w:rPr>
      </w:pPr>
      <w:r>
        <w:rPr>
          <w:rFonts w:ascii="宋体" w:hAnsi="宋体" w:hint="eastAsia"/>
          <w:sz w:val="24"/>
        </w:rPr>
        <w:t>5、基金经理承诺</w:t>
      </w:r>
    </w:p>
    <w:p w14:paraId="4512CD4C" w14:textId="77777777" w:rsidR="00DD2567" w:rsidRDefault="00680E4C">
      <w:pPr>
        <w:spacing w:line="360" w:lineRule="auto"/>
        <w:ind w:firstLineChars="200" w:firstLine="480"/>
        <w:rPr>
          <w:rFonts w:ascii="宋体" w:hAnsi="宋体"/>
          <w:sz w:val="24"/>
        </w:rPr>
      </w:pPr>
      <w:r>
        <w:rPr>
          <w:rFonts w:ascii="宋体" w:hAnsi="宋体" w:hint="eastAsia"/>
          <w:sz w:val="24"/>
        </w:rPr>
        <w:t>（1）依照有关法律法规和基金合同的规定，本着勤勉谨慎的原则为基金份额持有人谋取最大利益；</w:t>
      </w:r>
    </w:p>
    <w:p w14:paraId="7D5AB2C6" w14:textId="77777777" w:rsidR="00DD2567" w:rsidRDefault="00680E4C">
      <w:pPr>
        <w:spacing w:line="360" w:lineRule="auto"/>
        <w:ind w:firstLineChars="200" w:firstLine="480"/>
        <w:rPr>
          <w:rFonts w:ascii="宋体" w:hAnsi="宋体"/>
          <w:sz w:val="24"/>
        </w:rPr>
      </w:pPr>
      <w:r>
        <w:rPr>
          <w:rFonts w:ascii="宋体" w:hAnsi="宋体" w:hint="eastAsia"/>
          <w:sz w:val="24"/>
        </w:rPr>
        <w:t>（2）不利用职务之便为自己、被代理人、被代表人、受雇人或任何其他第</w:t>
      </w:r>
      <w:r>
        <w:rPr>
          <w:rFonts w:ascii="宋体" w:hAnsi="宋体" w:hint="eastAsia"/>
          <w:sz w:val="24"/>
        </w:rPr>
        <w:lastRenderedPageBreak/>
        <w:t>三人谋取不当利益；</w:t>
      </w:r>
    </w:p>
    <w:p w14:paraId="1B895D41" w14:textId="77777777" w:rsidR="00DD2567" w:rsidRDefault="00680E4C">
      <w:pPr>
        <w:spacing w:line="360" w:lineRule="auto"/>
        <w:ind w:firstLineChars="200" w:firstLine="480"/>
        <w:rPr>
          <w:rFonts w:ascii="宋体" w:hAnsi="宋体"/>
          <w:sz w:val="24"/>
        </w:rPr>
      </w:pPr>
      <w:r>
        <w:rPr>
          <w:rFonts w:ascii="宋体" w:hAnsi="宋体" w:hint="eastAsia"/>
          <w:sz w:val="24"/>
        </w:rPr>
        <w:t>（3）不违反现行有效的有关法律法规、基金合同和中国证监会的有关规定，泄露在任职期间知悉的有关证券、基金的商业秘密、尚未依法公开的基金投资内容、基金投资计划等信息；</w:t>
      </w:r>
    </w:p>
    <w:p w14:paraId="7FCB3BE2" w14:textId="77777777" w:rsidR="00DD2567" w:rsidRDefault="00680E4C">
      <w:pPr>
        <w:spacing w:line="360" w:lineRule="auto"/>
        <w:ind w:firstLineChars="200" w:firstLine="480"/>
        <w:rPr>
          <w:rFonts w:ascii="宋体" w:hAnsi="宋体"/>
          <w:sz w:val="24"/>
        </w:rPr>
      </w:pPr>
      <w:r>
        <w:rPr>
          <w:rFonts w:ascii="宋体" w:hAnsi="宋体" w:hint="eastAsia"/>
          <w:sz w:val="24"/>
        </w:rPr>
        <w:t>（4）不从事损害基金财产和基金份额持有人利益的证券交易及其他活动。</w:t>
      </w:r>
    </w:p>
    <w:p w14:paraId="32C552ED" w14:textId="77777777" w:rsidR="00DD2567" w:rsidRDefault="00680E4C">
      <w:pPr>
        <w:spacing w:line="360" w:lineRule="auto"/>
        <w:ind w:firstLineChars="200" w:firstLine="480"/>
        <w:rPr>
          <w:rFonts w:ascii="宋体" w:hAnsi="宋体"/>
          <w:sz w:val="24"/>
        </w:rPr>
      </w:pPr>
      <w:r>
        <w:rPr>
          <w:rFonts w:ascii="宋体" w:hAnsi="宋体" w:hint="eastAsia"/>
          <w:sz w:val="24"/>
        </w:rPr>
        <w:t>五、基金管理人的内部控制制度</w:t>
      </w:r>
    </w:p>
    <w:p w14:paraId="570B1175" w14:textId="77777777" w:rsidR="00DD2567" w:rsidRDefault="00680E4C">
      <w:pPr>
        <w:spacing w:line="360" w:lineRule="auto"/>
        <w:ind w:firstLineChars="200" w:firstLine="480"/>
        <w:rPr>
          <w:rFonts w:ascii="宋体" w:hAnsi="宋体"/>
          <w:sz w:val="24"/>
        </w:rPr>
      </w:pPr>
      <w:r>
        <w:rPr>
          <w:rFonts w:ascii="宋体" w:hAnsi="宋体" w:hint="eastAsia"/>
          <w:sz w:val="24"/>
        </w:rPr>
        <w:t>1、内部控制的目标</w:t>
      </w:r>
    </w:p>
    <w:p w14:paraId="5EA99AA8" w14:textId="77777777" w:rsidR="00DD2567" w:rsidRDefault="00680E4C">
      <w:pPr>
        <w:spacing w:line="360" w:lineRule="auto"/>
        <w:ind w:firstLineChars="200" w:firstLine="480"/>
        <w:rPr>
          <w:rFonts w:ascii="宋体" w:hAnsi="宋体"/>
          <w:sz w:val="24"/>
        </w:rPr>
      </w:pPr>
      <w:r>
        <w:rPr>
          <w:rFonts w:ascii="宋体" w:hAnsi="宋体" w:hint="eastAsia"/>
          <w:sz w:val="24"/>
        </w:rPr>
        <w:t>（1）保证公司经营运作严格遵守国家有关法律法规和行业监管规则，自觉形成守法经营、规范运作的经营思想和经营风格；</w:t>
      </w:r>
    </w:p>
    <w:p w14:paraId="2B9F011D" w14:textId="77777777" w:rsidR="00DD2567" w:rsidRDefault="00680E4C">
      <w:pPr>
        <w:spacing w:line="360" w:lineRule="auto"/>
        <w:ind w:firstLineChars="200" w:firstLine="480"/>
        <w:rPr>
          <w:rFonts w:ascii="宋体" w:hAnsi="宋体"/>
          <w:sz w:val="24"/>
        </w:rPr>
      </w:pPr>
      <w:r>
        <w:rPr>
          <w:rFonts w:ascii="宋体" w:hAnsi="宋体" w:hint="eastAsia"/>
          <w:sz w:val="24"/>
        </w:rPr>
        <w:t>（2）防范和化解经营风险，提高经营管理效益，确保经营业务的稳健运行和受托资产的安全完整，实现公司的持续、稳定、健康发展；</w:t>
      </w:r>
    </w:p>
    <w:p w14:paraId="0DFA8676" w14:textId="77777777" w:rsidR="00DD2567" w:rsidRDefault="00680E4C">
      <w:pPr>
        <w:spacing w:line="360" w:lineRule="auto"/>
        <w:ind w:firstLineChars="200" w:firstLine="480"/>
        <w:rPr>
          <w:rFonts w:ascii="宋体" w:hAnsi="宋体"/>
          <w:sz w:val="24"/>
        </w:rPr>
      </w:pPr>
      <w:r>
        <w:rPr>
          <w:rFonts w:ascii="宋体" w:hAnsi="宋体" w:hint="eastAsia"/>
          <w:sz w:val="24"/>
        </w:rPr>
        <w:t>（3）确保基金、公司财务及其他信息真实、准确、完整、及时；</w:t>
      </w:r>
    </w:p>
    <w:p w14:paraId="5F0516EF" w14:textId="77777777" w:rsidR="00DD2567" w:rsidRDefault="00680E4C">
      <w:pPr>
        <w:spacing w:line="360" w:lineRule="auto"/>
        <w:ind w:firstLineChars="200" w:firstLine="480"/>
        <w:rPr>
          <w:rFonts w:ascii="宋体" w:hAnsi="宋体"/>
          <w:sz w:val="24"/>
        </w:rPr>
      </w:pPr>
      <w:r>
        <w:rPr>
          <w:rFonts w:ascii="宋体" w:hAnsi="宋体" w:hint="eastAsia"/>
          <w:sz w:val="24"/>
        </w:rPr>
        <w:t>（4）建立和健全法人治理结构，形成合理的决策、执行和监督机制。通过完善的公司治理结构和风险控制流程，保护基金持有人利益不受侵犯。</w:t>
      </w:r>
    </w:p>
    <w:p w14:paraId="614DC642" w14:textId="77777777" w:rsidR="00DD2567" w:rsidRDefault="00680E4C">
      <w:pPr>
        <w:spacing w:line="360" w:lineRule="auto"/>
        <w:ind w:firstLineChars="200" w:firstLine="480"/>
        <w:rPr>
          <w:rFonts w:ascii="宋体" w:hAnsi="宋体"/>
          <w:sz w:val="24"/>
        </w:rPr>
      </w:pPr>
      <w:r>
        <w:rPr>
          <w:rFonts w:ascii="宋体" w:hAnsi="宋体" w:hint="eastAsia"/>
          <w:sz w:val="24"/>
        </w:rPr>
        <w:t>2、内部控制的原则</w:t>
      </w:r>
    </w:p>
    <w:p w14:paraId="7FBBC058" w14:textId="77777777" w:rsidR="00DD2567" w:rsidRDefault="00680E4C">
      <w:pPr>
        <w:spacing w:line="360" w:lineRule="auto"/>
        <w:ind w:firstLineChars="200" w:firstLine="480"/>
        <w:rPr>
          <w:rFonts w:ascii="宋体" w:hAnsi="宋体"/>
          <w:sz w:val="24"/>
        </w:rPr>
      </w:pPr>
      <w:r>
        <w:rPr>
          <w:rFonts w:ascii="宋体" w:hAnsi="宋体" w:hint="eastAsia"/>
          <w:sz w:val="24"/>
        </w:rPr>
        <w:t>（1）全面性原则：内部控制必须覆盖公司所有部门、岗位业务过程和业务环节，并普遍适用于公司每位员工；</w:t>
      </w:r>
    </w:p>
    <w:p w14:paraId="60CEDF29" w14:textId="77777777" w:rsidR="00DD2567" w:rsidRDefault="00680E4C">
      <w:pPr>
        <w:spacing w:line="360" w:lineRule="auto"/>
        <w:ind w:firstLineChars="200" w:firstLine="480"/>
        <w:rPr>
          <w:rFonts w:ascii="宋体" w:hAnsi="宋体"/>
          <w:sz w:val="24"/>
        </w:rPr>
      </w:pPr>
      <w:r>
        <w:rPr>
          <w:rFonts w:ascii="宋体" w:hAnsi="宋体" w:hint="eastAsia"/>
          <w:sz w:val="24"/>
        </w:rPr>
        <w:t>（2）独立性原则：公司根据业务的需要设立相对独立的机构、部门和岗位；</w:t>
      </w:r>
    </w:p>
    <w:p w14:paraId="7B541703" w14:textId="77777777" w:rsidR="00DD2567" w:rsidRDefault="00680E4C">
      <w:pPr>
        <w:spacing w:line="360" w:lineRule="auto"/>
        <w:ind w:firstLineChars="200" w:firstLine="480"/>
        <w:rPr>
          <w:rFonts w:ascii="宋体" w:hAnsi="宋体"/>
          <w:sz w:val="24"/>
        </w:rPr>
      </w:pPr>
      <w:r>
        <w:rPr>
          <w:rFonts w:ascii="宋体" w:hAnsi="宋体" w:hint="eastAsia"/>
          <w:sz w:val="24"/>
        </w:rPr>
        <w:t>（3）相互制约原则：公司内部部门和岗位的设置应当权责分明、相互制衡；</w:t>
      </w:r>
    </w:p>
    <w:p w14:paraId="6403B63D" w14:textId="77777777" w:rsidR="00DD2567" w:rsidRDefault="00680E4C">
      <w:pPr>
        <w:spacing w:line="360" w:lineRule="auto"/>
        <w:ind w:firstLineChars="200" w:firstLine="480"/>
        <w:rPr>
          <w:rFonts w:ascii="宋体" w:hAnsi="宋体"/>
          <w:sz w:val="24"/>
        </w:rPr>
      </w:pPr>
      <w:r>
        <w:rPr>
          <w:rFonts w:ascii="宋体" w:hAnsi="宋体" w:hint="eastAsia"/>
          <w:sz w:val="24"/>
        </w:rPr>
        <w:t>（4）有效性原则：用科学合理的内控程序和方法，建立合理的内控程序，保证内控制度的有效执行；</w:t>
      </w:r>
    </w:p>
    <w:p w14:paraId="7D732E94" w14:textId="77777777" w:rsidR="00DD2567" w:rsidRDefault="00680E4C">
      <w:pPr>
        <w:spacing w:line="360" w:lineRule="auto"/>
        <w:ind w:firstLineChars="200" w:firstLine="480"/>
        <w:rPr>
          <w:rFonts w:ascii="宋体" w:hAnsi="宋体"/>
          <w:sz w:val="24"/>
        </w:rPr>
      </w:pPr>
      <w:r>
        <w:rPr>
          <w:rFonts w:ascii="宋体" w:hAnsi="宋体" w:hint="eastAsia"/>
          <w:sz w:val="24"/>
        </w:rPr>
        <w:t>（5）审慎性原则：内部控制的核心是有效防范各种风险，公司组织体系的构成、内部管理制度的建立都要以防范风险、审慎经营为出发点；</w:t>
      </w:r>
    </w:p>
    <w:p w14:paraId="46CEDD99" w14:textId="77777777" w:rsidR="00DD2567" w:rsidRDefault="00680E4C">
      <w:pPr>
        <w:spacing w:line="360" w:lineRule="auto"/>
        <w:ind w:firstLineChars="200" w:firstLine="480"/>
        <w:rPr>
          <w:rFonts w:ascii="宋体" w:hAnsi="宋体"/>
          <w:sz w:val="24"/>
        </w:rPr>
      </w:pPr>
      <w:r>
        <w:rPr>
          <w:rFonts w:ascii="宋体" w:hAnsi="宋体" w:hint="eastAsia"/>
          <w:sz w:val="24"/>
        </w:rPr>
        <w:t>（6）适时性原则：内部控制应具有前瞻性，并且必须随着公司的经营战略、经营目标等内部环境的变化和国家法律、法规、政策制度等外部环境的改变及时进行相应的修改和完善；</w:t>
      </w:r>
    </w:p>
    <w:p w14:paraId="09181DE9" w14:textId="77777777" w:rsidR="00DD2567" w:rsidRDefault="00680E4C">
      <w:pPr>
        <w:spacing w:line="360" w:lineRule="auto"/>
        <w:ind w:firstLineChars="200" w:firstLine="480"/>
        <w:rPr>
          <w:rFonts w:ascii="宋体" w:hAnsi="宋体"/>
          <w:sz w:val="24"/>
        </w:rPr>
      </w:pPr>
      <w:r>
        <w:rPr>
          <w:rFonts w:ascii="宋体" w:hAnsi="宋体" w:hint="eastAsia"/>
          <w:sz w:val="24"/>
        </w:rPr>
        <w:t>（7）防火墙原则：公司基金投资、交易、研究、评估、市场开发等相关部门，应当在空间上和制度上适当分离，以达到防范风险的目的。对因业务需要知悉内部信息的人员，应制定严格的批准程序和监督措施；</w:t>
      </w:r>
    </w:p>
    <w:p w14:paraId="7D4039A0" w14:textId="77777777" w:rsidR="00DD2567" w:rsidRDefault="00680E4C">
      <w:pPr>
        <w:spacing w:line="360" w:lineRule="auto"/>
        <w:ind w:firstLineChars="200" w:firstLine="480"/>
        <w:rPr>
          <w:rFonts w:ascii="宋体" w:hAnsi="宋体"/>
          <w:sz w:val="24"/>
        </w:rPr>
      </w:pPr>
      <w:r>
        <w:rPr>
          <w:rFonts w:ascii="宋体" w:hAnsi="宋体" w:hint="eastAsia"/>
          <w:sz w:val="24"/>
        </w:rPr>
        <w:lastRenderedPageBreak/>
        <w:t>（8）成本效益原则：公司通过科学有效的经营管理方法降低各种成本，提高经营效益，通过控制成本实现最佳经济效益，从而达到最佳内控效果。</w:t>
      </w:r>
    </w:p>
    <w:p w14:paraId="23EFA1FE" w14:textId="77777777" w:rsidR="00DD2567" w:rsidRDefault="00680E4C">
      <w:pPr>
        <w:spacing w:line="360" w:lineRule="auto"/>
        <w:ind w:firstLineChars="200" w:firstLine="480"/>
        <w:rPr>
          <w:rFonts w:ascii="宋体" w:hAnsi="宋体"/>
          <w:sz w:val="24"/>
        </w:rPr>
      </w:pPr>
      <w:r>
        <w:rPr>
          <w:rFonts w:ascii="宋体" w:hAnsi="宋体" w:hint="eastAsia"/>
          <w:sz w:val="24"/>
        </w:rPr>
        <w:t>3、内部控制的组织机构</w:t>
      </w:r>
    </w:p>
    <w:p w14:paraId="3B265248" w14:textId="77777777" w:rsidR="00DD2567" w:rsidRDefault="00680E4C">
      <w:pPr>
        <w:spacing w:line="360" w:lineRule="auto"/>
        <w:ind w:firstLineChars="200" w:firstLine="480"/>
        <w:rPr>
          <w:rFonts w:ascii="宋体" w:hAnsi="宋体"/>
          <w:sz w:val="24"/>
        </w:rPr>
      </w:pPr>
      <w:r>
        <w:rPr>
          <w:rFonts w:ascii="宋体" w:hAnsi="宋体" w:hint="eastAsia"/>
          <w:sz w:val="24"/>
        </w:rPr>
        <w:t>公司内部控制的组织机构可以划分为监督系统、决策与业务执行两大系统，均有明确的层次分工和畅通的监督与执行通道，并建立完善的报告与反馈机制。</w:t>
      </w:r>
    </w:p>
    <w:p w14:paraId="482F7929" w14:textId="77777777" w:rsidR="00DD2567" w:rsidRDefault="00680E4C">
      <w:pPr>
        <w:spacing w:line="360" w:lineRule="auto"/>
        <w:ind w:firstLineChars="200" w:firstLine="480"/>
        <w:rPr>
          <w:rFonts w:ascii="宋体" w:hAnsi="宋体"/>
          <w:sz w:val="24"/>
        </w:rPr>
      </w:pPr>
      <w:r>
        <w:rPr>
          <w:rFonts w:ascii="宋体" w:hAnsi="宋体" w:hint="eastAsia"/>
          <w:sz w:val="24"/>
        </w:rPr>
        <w:t>（1）监督系统</w:t>
      </w:r>
    </w:p>
    <w:p w14:paraId="6047EE0A" w14:textId="77777777" w:rsidR="00DD2567" w:rsidRDefault="00680E4C">
      <w:pPr>
        <w:spacing w:line="360" w:lineRule="auto"/>
        <w:ind w:firstLineChars="200" w:firstLine="480"/>
        <w:rPr>
          <w:rFonts w:ascii="宋体" w:hAnsi="宋体"/>
          <w:sz w:val="24"/>
        </w:rPr>
      </w:pPr>
      <w:r>
        <w:rPr>
          <w:rFonts w:ascii="宋体" w:hAnsi="宋体" w:hint="eastAsia"/>
          <w:sz w:val="24"/>
        </w:rPr>
        <w:t>公司监事会、合规与风险控制委员会、监察稽核部为公司不同层面的监督机构，构成相互独立的监督系统。</w:t>
      </w:r>
    </w:p>
    <w:p w14:paraId="4283CECC" w14:textId="77777777" w:rsidR="00DD2567" w:rsidRDefault="00680E4C">
      <w:pPr>
        <w:spacing w:line="360" w:lineRule="auto"/>
        <w:ind w:firstLineChars="200" w:firstLine="480"/>
        <w:rPr>
          <w:rFonts w:ascii="宋体" w:hAnsi="宋体"/>
          <w:sz w:val="24"/>
        </w:rPr>
      </w:pPr>
      <w:r>
        <w:rPr>
          <w:rFonts w:ascii="宋体" w:hAnsi="宋体" w:hint="eastAsia"/>
          <w:sz w:val="24"/>
        </w:rPr>
        <w:t>监事会依照公司法和公司章程对公司经营管理活动、董事和公司管理层的行为行使监督权。董事会下设合规与风险控制委员会，负责对公司经营管理和基金资产运作的合法、合规性进行审查、分析和评估。合规与风险控制委员会独立行使职责。监察稽核部独立于公司各业务部门和各分支机构，对各岗位、各部门、各机构、各项业务中的风险控制情况实施监督。督察长由董事会聘任，根据董事会的授权对公司的经营活动进行监督。</w:t>
      </w:r>
    </w:p>
    <w:p w14:paraId="55A147CB" w14:textId="77777777" w:rsidR="00DD2567" w:rsidRDefault="00680E4C">
      <w:pPr>
        <w:spacing w:line="360" w:lineRule="auto"/>
        <w:ind w:firstLineChars="200" w:firstLine="480"/>
        <w:rPr>
          <w:rFonts w:ascii="宋体" w:hAnsi="宋体"/>
          <w:sz w:val="24"/>
        </w:rPr>
      </w:pPr>
      <w:r>
        <w:rPr>
          <w:rFonts w:ascii="宋体" w:hAnsi="宋体" w:hint="eastAsia"/>
          <w:sz w:val="24"/>
        </w:rPr>
        <w:t>（2）决策和执行系统</w:t>
      </w:r>
    </w:p>
    <w:p w14:paraId="274C0EDD" w14:textId="77777777" w:rsidR="00DD2567" w:rsidRDefault="00680E4C">
      <w:pPr>
        <w:spacing w:line="360" w:lineRule="auto"/>
        <w:ind w:firstLineChars="200" w:firstLine="480"/>
        <w:rPr>
          <w:rFonts w:ascii="宋体" w:hAnsi="宋体"/>
          <w:sz w:val="24"/>
        </w:rPr>
      </w:pPr>
      <w:r>
        <w:rPr>
          <w:rFonts w:ascii="宋体" w:hAnsi="宋体" w:hint="eastAsia"/>
          <w:sz w:val="24"/>
        </w:rPr>
        <w:t>股东会、董事会、管理层及职能部门构成公司决策与业务执行系统。</w:t>
      </w:r>
    </w:p>
    <w:p w14:paraId="2BE2FF24" w14:textId="77777777" w:rsidR="00DD2567" w:rsidRDefault="00680E4C">
      <w:pPr>
        <w:spacing w:line="360" w:lineRule="auto"/>
        <w:ind w:firstLineChars="200" w:firstLine="480"/>
        <w:rPr>
          <w:rFonts w:ascii="宋体" w:hAnsi="宋体"/>
          <w:sz w:val="24"/>
        </w:rPr>
      </w:pPr>
      <w:r>
        <w:rPr>
          <w:rFonts w:ascii="宋体" w:hAnsi="宋体" w:hint="eastAsia"/>
          <w:sz w:val="24"/>
        </w:rPr>
        <w:t>股东会是公司的最高权力机构，依照法律和公司章程行使职权。股东会选举董事组成董事会。董事会依照法律和公司章程行使职权。独立董事对公司事项发表不受任何人干预的独立意见并参与表决。董事会聘任公司总经理，由总经理负责公司的日常经营管理。</w:t>
      </w:r>
    </w:p>
    <w:p w14:paraId="3E62CD2A" w14:textId="77777777" w:rsidR="00DD2567" w:rsidRDefault="00680E4C">
      <w:pPr>
        <w:spacing w:line="360" w:lineRule="auto"/>
        <w:ind w:firstLineChars="200" w:firstLine="480"/>
        <w:rPr>
          <w:rFonts w:ascii="宋体" w:hAnsi="宋体"/>
          <w:sz w:val="24"/>
        </w:rPr>
      </w:pPr>
      <w:r>
        <w:rPr>
          <w:rFonts w:ascii="宋体" w:hAnsi="宋体" w:hint="eastAsia"/>
          <w:sz w:val="24"/>
        </w:rPr>
        <w:t>公司根据独立性、防火墙以及相互制约、互为衔接的原则，设立满足公司经营运作必需的机构、部门及岗位。各部门在分工合作的基础上，明确各岗位相应的责任和职权，建立相互配合、相互制约、相互促进的工作关系。通过制定规范的岗位责任制、合理的工作标准和严格的操作程序，使各项工作规范化、程序化、标准化。</w:t>
      </w:r>
    </w:p>
    <w:p w14:paraId="6F6589DD" w14:textId="77777777" w:rsidR="00DD2567" w:rsidRDefault="00680E4C">
      <w:pPr>
        <w:spacing w:line="360" w:lineRule="auto"/>
        <w:ind w:firstLineChars="200" w:firstLine="480"/>
        <w:rPr>
          <w:rFonts w:ascii="宋体" w:hAnsi="宋体"/>
          <w:sz w:val="24"/>
        </w:rPr>
      </w:pPr>
      <w:r>
        <w:rPr>
          <w:rFonts w:ascii="宋体" w:hAnsi="宋体" w:hint="eastAsia"/>
          <w:sz w:val="24"/>
        </w:rPr>
        <w:t>4、内部控制的制度体系</w:t>
      </w:r>
    </w:p>
    <w:p w14:paraId="2566D9AC" w14:textId="77777777" w:rsidR="00DD2567" w:rsidRDefault="00680E4C">
      <w:pPr>
        <w:spacing w:line="360" w:lineRule="auto"/>
        <w:ind w:firstLineChars="200" w:firstLine="480"/>
        <w:rPr>
          <w:rFonts w:ascii="宋体" w:hAnsi="宋体"/>
          <w:sz w:val="24"/>
        </w:rPr>
      </w:pPr>
      <w:r>
        <w:rPr>
          <w:rFonts w:ascii="宋体" w:hAnsi="宋体" w:hint="eastAsia"/>
          <w:sz w:val="24"/>
        </w:rPr>
        <w:t>公司制定合理、完备、有效并易于执行的制度体系。公司制度体系由不同层面的制度构成。按照其效力大小分为四个层面：第一个层面是公司章程，是公司经营管理遵循的最高文件；第二个层面是公司内部控制大纲，是公司制定各项基</w:t>
      </w:r>
      <w:r>
        <w:rPr>
          <w:rFonts w:ascii="宋体" w:hAnsi="宋体" w:hint="eastAsia"/>
          <w:sz w:val="24"/>
        </w:rPr>
        <w:lastRenderedPageBreak/>
        <w:t>本管理制度的基础和依据；第三个层面是公司基本管理制度，公司日常运作的有针对性并较为具体的行为要求与规范；第四个层面是公司各部门根据业务的需要制定的各种规章及实施细则等。上述不同层面的控制制度的制定、修改、实施、废止应该遵循相应的程序，较高层面的制度与较低层面的制度有机联系，前者的内容指导和制约后者内容，后者的内容体现和细化前者的内容。</w:t>
      </w:r>
    </w:p>
    <w:p w14:paraId="75B97505" w14:textId="77777777" w:rsidR="00DD2567" w:rsidRDefault="00680E4C">
      <w:pPr>
        <w:spacing w:line="360" w:lineRule="auto"/>
        <w:ind w:firstLineChars="200" w:firstLine="480"/>
        <w:rPr>
          <w:rFonts w:ascii="宋体" w:hAnsi="宋体"/>
          <w:sz w:val="24"/>
        </w:rPr>
      </w:pPr>
      <w:r>
        <w:rPr>
          <w:rFonts w:ascii="宋体" w:hAnsi="宋体" w:hint="eastAsia"/>
          <w:sz w:val="24"/>
        </w:rPr>
        <w:t>公司章程的修改须经股东会审议通过，监管部门核准后生效。公司内部控制大纲、公司基本管理制度的制订与修改由公司总经理提出议案，经董事会审议通过后实施。各部门的规章及实施细则由相关部门依据公司章程和内部控制大纲提出议案，经公司总经理办公会议审议通过后实施。</w:t>
      </w:r>
    </w:p>
    <w:p w14:paraId="66CB4357" w14:textId="77777777" w:rsidR="00DD2567" w:rsidRDefault="00680E4C">
      <w:pPr>
        <w:spacing w:line="360" w:lineRule="auto"/>
        <w:ind w:firstLineChars="200" w:firstLine="480"/>
        <w:rPr>
          <w:rFonts w:ascii="宋体" w:hAnsi="宋体"/>
          <w:sz w:val="24"/>
        </w:rPr>
      </w:pPr>
      <w:r>
        <w:rPr>
          <w:rFonts w:ascii="宋体" w:hAnsi="宋体" w:hint="eastAsia"/>
          <w:sz w:val="24"/>
        </w:rPr>
        <w:t>监察稽核部对公司基本管理制度、各部门规章及实施细则的执行情况进行日常性的检查和评价，并报公司总经理和督察长。总经理和督察长向有关部门提出改进意见由相关部门负责落实，并由监察稽核部跟踪落实情况并继续检查评估。各部门定期或不定期对涉及到本部门的公司管理制度的执行情况进行自查，并负责落实相关事项。</w:t>
      </w:r>
    </w:p>
    <w:p w14:paraId="1EE34AA2" w14:textId="77777777" w:rsidR="00DD2567" w:rsidRDefault="00680E4C">
      <w:pPr>
        <w:spacing w:line="360" w:lineRule="auto"/>
        <w:ind w:firstLineChars="200" w:firstLine="480"/>
        <w:rPr>
          <w:rFonts w:ascii="宋体" w:hAnsi="宋体"/>
          <w:sz w:val="24"/>
        </w:rPr>
      </w:pPr>
      <w:r>
        <w:rPr>
          <w:rFonts w:ascii="宋体" w:hAnsi="宋体" w:hint="eastAsia"/>
          <w:sz w:val="24"/>
        </w:rPr>
        <w:t>5、内部控制的层次体系</w:t>
      </w:r>
    </w:p>
    <w:p w14:paraId="10B2DD28" w14:textId="77777777" w:rsidR="00DD2567" w:rsidRDefault="00680E4C">
      <w:pPr>
        <w:spacing w:line="360" w:lineRule="auto"/>
        <w:ind w:firstLineChars="200" w:firstLine="480"/>
        <w:rPr>
          <w:rFonts w:ascii="宋体" w:hAnsi="宋体"/>
          <w:sz w:val="24"/>
        </w:rPr>
      </w:pPr>
      <w:r>
        <w:rPr>
          <w:rFonts w:ascii="宋体" w:hAnsi="宋体" w:hint="eastAsia"/>
          <w:sz w:val="24"/>
        </w:rPr>
        <w:t>公司内部控制的层次体系共分四层：建立一线岗位的第一道监控防线，属于单人、单岗处理业务的，必须有相应的后续监督机制；建立相关部门、相关岗位之间相互制约的工作程序作为第二道监控防线，建立业务文件在公司与托管银行之间、相关部门和相关岗位之间传递的标准，明确文字签字的授权；成立独立的监察稽核部，对各部门、各岗位各项业务全面实行监督反馈，必要时对有关部门进行不定期突击检查，形成第三道防线；董事会合规与风险控制委员会和公司风险控制委员会形成公司的第四道防线。</w:t>
      </w:r>
    </w:p>
    <w:p w14:paraId="38DAF2C4" w14:textId="77777777" w:rsidR="00DD2567" w:rsidRDefault="00680E4C">
      <w:pPr>
        <w:spacing w:line="360" w:lineRule="auto"/>
        <w:ind w:firstLineChars="200" w:firstLine="480"/>
        <w:rPr>
          <w:rFonts w:ascii="宋体" w:hAnsi="宋体"/>
          <w:sz w:val="24"/>
        </w:rPr>
      </w:pPr>
      <w:r>
        <w:rPr>
          <w:rFonts w:ascii="宋体" w:hAnsi="宋体" w:hint="eastAsia"/>
          <w:sz w:val="24"/>
        </w:rPr>
        <w:t>6、基金管理人关于内部控制的声明</w:t>
      </w:r>
    </w:p>
    <w:p w14:paraId="42A01BA0" w14:textId="6206C1AA" w:rsidR="00DD2567" w:rsidRDefault="00485EEA">
      <w:pPr>
        <w:spacing w:line="360" w:lineRule="auto"/>
        <w:ind w:firstLineChars="200" w:firstLine="480"/>
        <w:rPr>
          <w:rFonts w:ascii="宋体" w:hAnsi="宋体"/>
          <w:sz w:val="24"/>
        </w:rPr>
      </w:pPr>
      <w:r w:rsidRPr="002B539B">
        <w:rPr>
          <w:rFonts w:ascii="宋体" w:hAnsi="宋体" w:hint="eastAsia"/>
          <w:sz w:val="24"/>
        </w:rPr>
        <w:t>本公司确知建立内部控制系统、维持其有效性以及有效执行内部控制制度是本公司董事会及管理层的责任，董事会承担最终责任；本公司特别声明以上关于内部控制的披露真实、准确，并承诺根据市场的变化和公司的发展不断完善内部控制制度。</w:t>
      </w:r>
    </w:p>
    <w:bookmarkEnd w:id="63"/>
    <w:p w14:paraId="13509B79" w14:textId="77777777" w:rsidR="00DD2567" w:rsidRDefault="00680E4C" w:rsidP="00DD2567">
      <w:pPr>
        <w:pStyle w:val="1"/>
        <w:spacing w:before="0" w:after="0"/>
        <w:jc w:val="center"/>
        <w:rPr>
          <w:rFonts w:ascii="Times New Roman"/>
          <w:color w:val="auto"/>
          <w:sz w:val="30"/>
        </w:rPr>
      </w:pPr>
      <w:r>
        <w:rPr>
          <w:rFonts w:ascii="Times New Roman"/>
          <w:b w:val="0"/>
          <w:bCs/>
          <w:color w:val="auto"/>
          <w:kern w:val="44"/>
          <w:sz w:val="21"/>
        </w:rPr>
        <w:br w:type="page"/>
      </w:r>
      <w:bookmarkStart w:id="66" w:name="_Toc7151"/>
      <w:bookmarkStart w:id="67" w:name="_Toc27189"/>
      <w:bookmarkStart w:id="68" w:name="_Toc6714"/>
      <w:bookmarkStart w:id="69" w:name="_Toc90742321"/>
      <w:bookmarkStart w:id="70" w:name="_Toc22074"/>
      <w:bookmarkStart w:id="71" w:name="_Toc342469893"/>
      <w:bookmarkStart w:id="72" w:name="_Toc90742390"/>
      <w:bookmarkStart w:id="73" w:name="_Toc27226"/>
      <w:bookmarkStart w:id="74" w:name="_Toc29784"/>
      <w:bookmarkStart w:id="75" w:name="_Toc16265"/>
      <w:bookmarkStart w:id="76" w:name="_Toc15203"/>
      <w:bookmarkStart w:id="77" w:name="_Toc90742688"/>
      <w:bookmarkStart w:id="78" w:name="_Toc29948"/>
      <w:bookmarkStart w:id="79" w:name="_Toc3266"/>
      <w:r>
        <w:rPr>
          <w:rFonts w:ascii="Times New Roman"/>
          <w:color w:val="auto"/>
          <w:sz w:val="30"/>
        </w:rPr>
        <w:lastRenderedPageBreak/>
        <w:t>第四部分</w:t>
      </w:r>
      <w:r w:rsidR="00625BE6">
        <w:rPr>
          <w:rFonts w:ascii="Times New Roman" w:hint="eastAsia"/>
          <w:color w:val="auto"/>
          <w:sz w:val="30"/>
        </w:rPr>
        <w:t xml:space="preserve"> </w:t>
      </w:r>
      <w:r>
        <w:rPr>
          <w:rFonts w:ascii="Times New Roman"/>
          <w:color w:val="auto"/>
          <w:sz w:val="30"/>
        </w:rPr>
        <w:t>基金</w:t>
      </w:r>
      <w:r>
        <w:rPr>
          <w:rFonts w:ascii="Times New Roman" w:hint="eastAsia"/>
          <w:color w:val="auto"/>
          <w:sz w:val="30"/>
        </w:rPr>
        <w:t>托管人</w:t>
      </w:r>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16693C56" w14:textId="77777777" w:rsidR="00DD2567" w:rsidRDefault="00DD2567">
      <w:pPr>
        <w:spacing w:line="360" w:lineRule="auto"/>
        <w:ind w:firstLineChars="200" w:firstLine="420"/>
        <w:rPr>
          <w:bCs/>
          <w:kern w:val="44"/>
        </w:rPr>
      </w:pPr>
    </w:p>
    <w:p w14:paraId="5E3C7EB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一、基金托管人基本情况</w:t>
      </w:r>
    </w:p>
    <w:p w14:paraId="51D70E26" w14:textId="77777777" w:rsidR="00DD2567" w:rsidRDefault="00680E4C">
      <w:pPr>
        <w:snapToGri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、基本情况</w:t>
      </w:r>
    </w:p>
    <w:p w14:paraId="42469A73"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名称：交通银行股份有限公司（简称：交通银行）</w:t>
      </w:r>
    </w:p>
    <w:p w14:paraId="29A0150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法定代表人：牛锡明</w:t>
      </w:r>
    </w:p>
    <w:p w14:paraId="7D5392EB"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住所：上海市浦东新区银城中路188号</w:t>
      </w:r>
    </w:p>
    <w:p w14:paraId="0A38385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办公地址：上海市浦东新区银城中路188号</w:t>
      </w:r>
    </w:p>
    <w:p w14:paraId="29D6E5F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邮政编码：200120</w:t>
      </w:r>
    </w:p>
    <w:p w14:paraId="3441AFB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注册时间：1987年3月30日</w:t>
      </w:r>
    </w:p>
    <w:p w14:paraId="56FFD28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注册资本：</w:t>
      </w:r>
      <w:r>
        <w:rPr>
          <w:rFonts w:ascii="宋体" w:hAnsi="宋体"/>
          <w:color w:val="000000"/>
          <w:sz w:val="24"/>
        </w:rPr>
        <w:t>742.62</w:t>
      </w:r>
      <w:r>
        <w:rPr>
          <w:rFonts w:ascii="宋体" w:hAnsi="宋体" w:hint="eastAsia"/>
          <w:color w:val="000000"/>
          <w:sz w:val="24"/>
        </w:rPr>
        <w:t>亿元</w:t>
      </w:r>
    </w:p>
    <w:p w14:paraId="2F3C8253"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基金托管资格批文及文号：中国证监会证监基字[1998]25号</w:t>
      </w:r>
    </w:p>
    <w:p w14:paraId="3F60789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联系人：汤嵩彥</w:t>
      </w:r>
    </w:p>
    <w:p w14:paraId="72FF8C9A" w14:textId="38407D8F"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电话：</w:t>
      </w:r>
      <w:r>
        <w:rPr>
          <w:rFonts w:ascii="宋体" w:hAnsi="宋体"/>
          <w:color w:val="000000"/>
          <w:sz w:val="24"/>
        </w:rPr>
        <w:t>95559</w:t>
      </w:r>
    </w:p>
    <w:p w14:paraId="50C1D5EC" w14:textId="77777777" w:rsidR="00485EEA" w:rsidRDefault="00485EEA" w:rsidP="00485EEA">
      <w:pPr>
        <w:snapToGrid w:val="0"/>
        <w:spacing w:line="360" w:lineRule="auto"/>
        <w:ind w:firstLineChars="200" w:firstLine="480"/>
        <w:rPr>
          <w:rFonts w:ascii="宋体" w:hAnsi="宋体"/>
          <w:color w:val="000000"/>
          <w:sz w:val="24"/>
        </w:rPr>
      </w:pPr>
      <w:r w:rsidRPr="00D309B9">
        <w:rPr>
          <w:rFonts w:ascii="宋体" w:hAnsi="宋体" w:hint="eastAsia"/>
          <w:color w:val="000000"/>
          <w:sz w:val="24"/>
        </w:rPr>
        <w:t>交通银行始建于1908年，是中国历史最悠久的银行之一，也是近代中国发钞行之一。</w:t>
      </w:r>
      <w:r w:rsidRPr="00205835">
        <w:rPr>
          <w:rFonts w:ascii="宋体" w:hAnsi="宋体" w:hint="eastAsia"/>
          <w:color w:val="000000"/>
          <w:sz w:val="24"/>
        </w:rPr>
        <w:t>1987年重新组建后的交通银行正式对外营业，成为中国第一家全国性的国有股份制商业银行，总部设在上海。2005年6月，交通银行在香港联合交易所挂牌上市，2007年5月在上海证券交易所挂牌上市。根据201</w:t>
      </w:r>
      <w:r>
        <w:rPr>
          <w:rFonts w:ascii="宋体" w:hAnsi="宋体" w:hint="eastAsia"/>
          <w:color w:val="000000"/>
          <w:sz w:val="24"/>
        </w:rPr>
        <w:t>5</w:t>
      </w:r>
      <w:r w:rsidRPr="00205835">
        <w:rPr>
          <w:rFonts w:ascii="宋体" w:hAnsi="宋体" w:hint="eastAsia"/>
          <w:color w:val="000000"/>
          <w:sz w:val="24"/>
        </w:rPr>
        <w:t>年</w:t>
      </w:r>
      <w:r>
        <w:rPr>
          <w:rFonts w:ascii="宋体" w:hAnsi="宋体" w:hint="eastAsia"/>
          <w:color w:val="000000"/>
          <w:sz w:val="24"/>
        </w:rPr>
        <w:t>英国</w:t>
      </w:r>
      <w:r w:rsidRPr="00205835">
        <w:rPr>
          <w:rFonts w:ascii="宋体" w:hAnsi="宋体" w:hint="eastAsia"/>
          <w:color w:val="000000"/>
          <w:sz w:val="24"/>
        </w:rPr>
        <w:t>《银行家》杂志发布的全球千家大银行报告，交通银行一级资本位列第1</w:t>
      </w:r>
      <w:r>
        <w:rPr>
          <w:rFonts w:ascii="宋体" w:hAnsi="宋体"/>
          <w:color w:val="000000"/>
          <w:sz w:val="24"/>
        </w:rPr>
        <w:t>7</w:t>
      </w:r>
      <w:r w:rsidRPr="00205835">
        <w:rPr>
          <w:rFonts w:ascii="宋体" w:hAnsi="宋体" w:hint="eastAsia"/>
          <w:color w:val="000000"/>
          <w:sz w:val="24"/>
        </w:rPr>
        <w:t>位，</w:t>
      </w:r>
      <w:r>
        <w:rPr>
          <w:rFonts w:ascii="宋体" w:hAnsi="宋体" w:hint="eastAsia"/>
          <w:color w:val="000000"/>
          <w:sz w:val="24"/>
        </w:rPr>
        <w:t>较上年</w:t>
      </w:r>
      <w:r>
        <w:rPr>
          <w:rFonts w:ascii="宋体" w:hAnsi="宋体"/>
          <w:color w:val="000000"/>
          <w:sz w:val="24"/>
        </w:rPr>
        <w:t>上升2位</w:t>
      </w:r>
      <w:r w:rsidRPr="00205835">
        <w:rPr>
          <w:rFonts w:ascii="宋体" w:hAnsi="宋体" w:hint="eastAsia"/>
          <w:color w:val="000000"/>
          <w:sz w:val="24"/>
        </w:rPr>
        <w:t>；根据</w:t>
      </w:r>
      <w:r>
        <w:rPr>
          <w:rFonts w:ascii="宋体" w:hAnsi="宋体" w:hint="eastAsia"/>
          <w:color w:val="000000"/>
          <w:sz w:val="24"/>
        </w:rPr>
        <w:t>2</w:t>
      </w:r>
      <w:r>
        <w:rPr>
          <w:rFonts w:ascii="宋体" w:hAnsi="宋体"/>
          <w:color w:val="000000"/>
          <w:sz w:val="24"/>
        </w:rPr>
        <w:t>015年美国</w:t>
      </w:r>
      <w:r w:rsidRPr="00205835">
        <w:rPr>
          <w:rFonts w:ascii="宋体" w:hAnsi="宋体" w:hint="eastAsia"/>
          <w:color w:val="000000"/>
          <w:sz w:val="24"/>
        </w:rPr>
        <w:t>《财富》杂志发布的“世界500强公司”排行榜，交通银行</w:t>
      </w:r>
      <w:r>
        <w:rPr>
          <w:rFonts w:ascii="宋体" w:hAnsi="宋体" w:hint="eastAsia"/>
          <w:color w:val="000000"/>
          <w:sz w:val="24"/>
        </w:rPr>
        <w:t>营业收入</w:t>
      </w:r>
      <w:r w:rsidRPr="00205835">
        <w:rPr>
          <w:rFonts w:ascii="宋体" w:hAnsi="宋体" w:hint="eastAsia"/>
          <w:color w:val="000000"/>
          <w:sz w:val="24"/>
        </w:rPr>
        <w:t>位列第</w:t>
      </w:r>
      <w:r>
        <w:rPr>
          <w:rFonts w:ascii="宋体" w:hAnsi="宋体"/>
          <w:color w:val="000000"/>
          <w:sz w:val="24"/>
        </w:rPr>
        <w:t>190</w:t>
      </w:r>
      <w:r w:rsidRPr="00205835">
        <w:rPr>
          <w:rFonts w:ascii="宋体" w:hAnsi="宋体" w:hint="eastAsia"/>
          <w:color w:val="000000"/>
          <w:sz w:val="24"/>
        </w:rPr>
        <w:t>位</w:t>
      </w:r>
      <w:r>
        <w:rPr>
          <w:rFonts w:ascii="宋体" w:hAnsi="宋体" w:hint="eastAsia"/>
          <w:color w:val="000000"/>
          <w:sz w:val="24"/>
        </w:rPr>
        <w:t>，较</w:t>
      </w:r>
      <w:r>
        <w:rPr>
          <w:rFonts w:ascii="宋体" w:hAnsi="宋体"/>
          <w:color w:val="000000"/>
          <w:sz w:val="24"/>
        </w:rPr>
        <w:t>上年上升27</w:t>
      </w:r>
      <w:r>
        <w:rPr>
          <w:rFonts w:ascii="宋体" w:hAnsi="宋体" w:hint="eastAsia"/>
          <w:color w:val="000000"/>
          <w:sz w:val="24"/>
        </w:rPr>
        <w:t>位</w:t>
      </w:r>
      <w:r>
        <w:rPr>
          <w:rFonts w:ascii="宋体" w:hAnsi="宋体"/>
          <w:color w:val="000000"/>
          <w:sz w:val="24"/>
        </w:rPr>
        <w:t>。</w:t>
      </w:r>
    </w:p>
    <w:p w14:paraId="3738A0D1" w14:textId="79EFC760" w:rsidR="00485EEA" w:rsidRPr="00D309B9" w:rsidRDefault="00485EEA" w:rsidP="00485EEA">
      <w:pPr>
        <w:snapToGrid w:val="0"/>
        <w:spacing w:line="360" w:lineRule="auto"/>
        <w:ind w:firstLineChars="200" w:firstLine="480"/>
        <w:rPr>
          <w:rFonts w:ascii="宋体" w:hAnsi="宋体"/>
          <w:color w:val="000000"/>
          <w:sz w:val="24"/>
        </w:rPr>
      </w:pPr>
      <w:r w:rsidRPr="00BB3BFF">
        <w:rPr>
          <w:rFonts w:ascii="宋体" w:hAnsi="宋体" w:hint="eastAsia"/>
          <w:color w:val="000000"/>
          <w:sz w:val="24"/>
        </w:rPr>
        <w:t>截至</w:t>
      </w:r>
      <w:r w:rsidRPr="00BB3BFF">
        <w:rPr>
          <w:rFonts w:ascii="宋体" w:hAnsi="宋体"/>
          <w:color w:val="000000"/>
          <w:sz w:val="24"/>
        </w:rPr>
        <w:t>2016</w:t>
      </w:r>
      <w:r w:rsidRPr="00BB3BFF">
        <w:rPr>
          <w:rFonts w:ascii="宋体" w:hAnsi="宋体" w:hint="eastAsia"/>
          <w:color w:val="000000"/>
          <w:sz w:val="24"/>
        </w:rPr>
        <w:t>年</w:t>
      </w:r>
      <w:r w:rsidRPr="00BB3BFF">
        <w:rPr>
          <w:rFonts w:ascii="宋体" w:hAnsi="宋体"/>
          <w:color w:val="000000"/>
          <w:sz w:val="24"/>
        </w:rPr>
        <w:t>6</w:t>
      </w:r>
      <w:r w:rsidRPr="00BB3BFF">
        <w:rPr>
          <w:rFonts w:ascii="宋体" w:hAnsi="宋体" w:hint="eastAsia"/>
          <w:color w:val="000000"/>
          <w:sz w:val="24"/>
        </w:rPr>
        <w:t>月</w:t>
      </w:r>
      <w:r w:rsidRPr="00BB3BFF">
        <w:rPr>
          <w:rFonts w:ascii="宋体" w:hAnsi="宋体"/>
          <w:color w:val="000000"/>
          <w:sz w:val="24"/>
        </w:rPr>
        <w:t>30</w:t>
      </w:r>
      <w:r w:rsidRPr="00BB3BFF">
        <w:rPr>
          <w:rFonts w:ascii="宋体" w:hAnsi="宋体" w:hint="eastAsia"/>
          <w:color w:val="000000"/>
          <w:sz w:val="24"/>
        </w:rPr>
        <w:t>日，交通银行资产总额为人民币</w:t>
      </w:r>
      <w:r w:rsidRPr="00BB3BFF">
        <w:rPr>
          <w:rFonts w:ascii="宋体" w:hAnsi="宋体"/>
          <w:color w:val="000000"/>
          <w:sz w:val="24"/>
        </w:rPr>
        <w:t>79,563.22</w:t>
      </w:r>
      <w:r w:rsidRPr="00BB3BFF">
        <w:rPr>
          <w:rFonts w:ascii="宋体" w:hAnsi="宋体" w:hint="eastAsia"/>
          <w:color w:val="000000"/>
          <w:sz w:val="24"/>
        </w:rPr>
        <w:t>亿元。</w:t>
      </w:r>
      <w:r w:rsidRPr="00BB3BFF">
        <w:rPr>
          <w:rFonts w:ascii="宋体" w:hAnsi="宋体"/>
          <w:color w:val="000000"/>
          <w:sz w:val="24"/>
        </w:rPr>
        <w:t>2016</w:t>
      </w:r>
      <w:r w:rsidRPr="00BB3BFF">
        <w:rPr>
          <w:rFonts w:ascii="宋体" w:hAnsi="宋体" w:hint="eastAsia"/>
          <w:color w:val="000000"/>
          <w:sz w:val="24"/>
        </w:rPr>
        <w:t>年</w:t>
      </w:r>
      <w:r w:rsidRPr="00BB3BFF">
        <w:rPr>
          <w:rFonts w:ascii="宋体" w:hAnsi="宋体"/>
          <w:color w:val="000000"/>
          <w:sz w:val="24"/>
        </w:rPr>
        <w:t>1</w:t>
      </w:r>
      <w:r w:rsidR="00C826D7">
        <w:rPr>
          <w:rFonts w:ascii="宋体" w:hAnsi="宋体"/>
          <w:color w:val="000000"/>
          <w:sz w:val="24"/>
        </w:rPr>
        <w:t>至</w:t>
      </w:r>
      <w:r w:rsidRPr="00BB3BFF">
        <w:rPr>
          <w:rFonts w:ascii="宋体" w:hAnsi="宋体"/>
          <w:color w:val="000000"/>
          <w:sz w:val="24"/>
        </w:rPr>
        <w:t>6</w:t>
      </w:r>
      <w:r w:rsidRPr="00BB3BFF">
        <w:rPr>
          <w:rFonts w:ascii="宋体" w:hAnsi="宋体" w:hint="eastAsia"/>
          <w:color w:val="000000"/>
          <w:sz w:val="24"/>
        </w:rPr>
        <w:t>月，交通银行实现净利润</w:t>
      </w:r>
      <w:r w:rsidRPr="00BB3BFF">
        <w:rPr>
          <w:rFonts w:ascii="宋体" w:hAnsi="宋体"/>
          <w:color w:val="000000"/>
          <w:sz w:val="24"/>
        </w:rPr>
        <w:t>(</w:t>
      </w:r>
      <w:r w:rsidRPr="00BB3BFF">
        <w:rPr>
          <w:rFonts w:ascii="宋体" w:hAnsi="宋体" w:hint="eastAsia"/>
          <w:color w:val="000000"/>
          <w:sz w:val="24"/>
        </w:rPr>
        <w:t>归属于母公司股东</w:t>
      </w:r>
      <w:r w:rsidRPr="00BB3BFF">
        <w:rPr>
          <w:rFonts w:ascii="宋体" w:hAnsi="宋体"/>
          <w:color w:val="000000"/>
          <w:sz w:val="24"/>
        </w:rPr>
        <w:t>)</w:t>
      </w:r>
      <w:r w:rsidRPr="00BB3BFF">
        <w:rPr>
          <w:rFonts w:ascii="宋体" w:hAnsi="宋体" w:hint="eastAsia"/>
          <w:color w:val="000000"/>
          <w:sz w:val="24"/>
        </w:rPr>
        <w:t>人民币</w:t>
      </w:r>
      <w:r w:rsidRPr="00BB3BFF">
        <w:rPr>
          <w:rFonts w:ascii="宋体" w:hAnsi="宋体"/>
          <w:color w:val="000000"/>
          <w:sz w:val="24"/>
        </w:rPr>
        <w:t>376.61</w:t>
      </w:r>
      <w:r w:rsidRPr="00BB3BFF">
        <w:rPr>
          <w:rFonts w:ascii="宋体" w:hAnsi="宋体" w:hint="eastAsia"/>
          <w:color w:val="000000"/>
          <w:sz w:val="24"/>
        </w:rPr>
        <w:t>亿元。</w:t>
      </w:r>
    </w:p>
    <w:p w14:paraId="10D75F45" w14:textId="77777777" w:rsidR="00485EEA" w:rsidRPr="00597B1D" w:rsidRDefault="00485EEA" w:rsidP="00485EEA">
      <w:pPr>
        <w:snapToGrid w:val="0"/>
        <w:spacing w:line="360" w:lineRule="auto"/>
        <w:ind w:firstLineChars="200" w:firstLine="480"/>
        <w:rPr>
          <w:rFonts w:ascii="宋体" w:hAnsi="宋体"/>
          <w:color w:val="000000"/>
          <w:sz w:val="24"/>
        </w:rPr>
      </w:pPr>
      <w:r w:rsidRPr="00D309B9">
        <w:rPr>
          <w:rFonts w:ascii="宋体" w:hAnsi="宋体"/>
          <w:color w:val="000000"/>
          <w:sz w:val="24"/>
        </w:rPr>
        <w:t>交通银行总行设</w:t>
      </w:r>
      <w:r w:rsidRPr="00D309B9">
        <w:rPr>
          <w:rFonts w:ascii="宋体" w:hAnsi="宋体" w:hint="eastAsia"/>
          <w:color w:val="000000"/>
          <w:sz w:val="24"/>
        </w:rPr>
        <w:t>资产</w:t>
      </w:r>
      <w:r w:rsidRPr="00D309B9">
        <w:rPr>
          <w:rFonts w:ascii="宋体" w:hAnsi="宋体"/>
          <w:color w:val="000000"/>
          <w:sz w:val="24"/>
        </w:rPr>
        <w:t>托管</w:t>
      </w:r>
      <w:r w:rsidRPr="00205835">
        <w:rPr>
          <w:rFonts w:ascii="宋体" w:hAnsi="宋体" w:hint="eastAsia"/>
          <w:color w:val="000000"/>
          <w:sz w:val="24"/>
        </w:rPr>
        <w:t>业务中心（下文简称“托管中心”）</w:t>
      </w:r>
      <w:r w:rsidRPr="00D309B9">
        <w:rPr>
          <w:rFonts w:ascii="宋体" w:hAnsi="宋体"/>
          <w:color w:val="000000"/>
          <w:sz w:val="24"/>
        </w:rPr>
        <w:t>。</w:t>
      </w:r>
      <w:r w:rsidRPr="00D309B9">
        <w:rPr>
          <w:rFonts w:ascii="宋体" w:hAnsi="宋体" w:hint="eastAsia"/>
          <w:color w:val="000000"/>
          <w:sz w:val="24"/>
        </w:rPr>
        <w:t>现有员工具有多年基金、证券和银行的从业经验，</w:t>
      </w:r>
      <w:r w:rsidRPr="00D309B9">
        <w:rPr>
          <w:rFonts w:ascii="宋体" w:hAnsi="宋体"/>
          <w:color w:val="000000"/>
          <w:sz w:val="24"/>
        </w:rPr>
        <w:t>具备基金从业资格</w:t>
      </w:r>
      <w:r w:rsidRPr="00D309B9">
        <w:rPr>
          <w:rFonts w:ascii="宋体" w:hAnsi="宋体" w:hint="eastAsia"/>
          <w:color w:val="000000"/>
          <w:sz w:val="24"/>
        </w:rPr>
        <w:t>，以及</w:t>
      </w:r>
      <w:r w:rsidRPr="00D309B9">
        <w:rPr>
          <w:rFonts w:ascii="宋体" w:hAnsi="宋体"/>
          <w:color w:val="000000"/>
          <w:sz w:val="24"/>
        </w:rPr>
        <w:t>经济师、会计师、工程师和律师</w:t>
      </w:r>
      <w:r w:rsidRPr="00D309B9">
        <w:rPr>
          <w:rFonts w:ascii="宋体" w:hAnsi="宋体" w:hint="eastAsia"/>
          <w:color w:val="000000"/>
          <w:sz w:val="24"/>
        </w:rPr>
        <w:t>等</w:t>
      </w:r>
      <w:r w:rsidRPr="00D309B9">
        <w:rPr>
          <w:rFonts w:ascii="宋体" w:hAnsi="宋体"/>
          <w:color w:val="000000"/>
          <w:sz w:val="24"/>
        </w:rPr>
        <w:t>中高级</w:t>
      </w:r>
      <w:r w:rsidRPr="00D309B9">
        <w:rPr>
          <w:rFonts w:ascii="宋体" w:hAnsi="宋体" w:hint="eastAsia"/>
          <w:color w:val="000000"/>
          <w:sz w:val="24"/>
        </w:rPr>
        <w:t>专业技术</w:t>
      </w:r>
      <w:r w:rsidRPr="00D309B9">
        <w:rPr>
          <w:rFonts w:ascii="宋体" w:hAnsi="宋体"/>
          <w:color w:val="000000"/>
          <w:sz w:val="24"/>
        </w:rPr>
        <w:t>职称，员工的学历层次较高，专业分布合理，职业技能优良，职业道德素质过硬，是一支诚实勤勉、积极进取、开拓创新、奋发向上的</w:t>
      </w:r>
      <w:r w:rsidRPr="00D309B9">
        <w:rPr>
          <w:rFonts w:ascii="宋体" w:hAnsi="宋体" w:hint="eastAsia"/>
          <w:color w:val="000000"/>
          <w:sz w:val="24"/>
        </w:rPr>
        <w:t>资产</w:t>
      </w:r>
      <w:r w:rsidRPr="00D309B9">
        <w:rPr>
          <w:rFonts w:ascii="宋体" w:hAnsi="宋体"/>
          <w:color w:val="000000"/>
          <w:sz w:val="24"/>
        </w:rPr>
        <w:t>托管从业人员队伍。</w:t>
      </w:r>
    </w:p>
    <w:p w14:paraId="77E88E4C" w14:textId="77777777" w:rsidR="00DD2567" w:rsidRDefault="00680E4C">
      <w:pPr>
        <w:snapToGrid w:val="0"/>
        <w:spacing w:line="360" w:lineRule="auto"/>
        <w:ind w:firstLineChars="200" w:firstLine="480"/>
        <w:rPr>
          <w:rFonts w:ascii="宋体" w:hAnsi="宋体"/>
          <w:color w:val="000000"/>
          <w:sz w:val="24"/>
        </w:rPr>
      </w:pPr>
      <w:r>
        <w:rPr>
          <w:rFonts w:ascii="宋体" w:hAnsi="宋体"/>
          <w:color w:val="000000"/>
          <w:sz w:val="24"/>
        </w:rPr>
        <w:t>2</w:t>
      </w:r>
      <w:r>
        <w:rPr>
          <w:rFonts w:ascii="宋体" w:hAnsi="宋体" w:hint="eastAsia"/>
          <w:color w:val="000000"/>
          <w:sz w:val="24"/>
        </w:rPr>
        <w:t>、主要人员情况</w:t>
      </w:r>
    </w:p>
    <w:p w14:paraId="2FA7E8C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lastRenderedPageBreak/>
        <w:t>牛锡明先生，董事长、执行董事。</w:t>
      </w:r>
    </w:p>
    <w:p w14:paraId="579AEF9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牛先生</w:t>
      </w:r>
      <w:r>
        <w:rPr>
          <w:rFonts w:ascii="宋体" w:hAnsi="宋体"/>
          <w:color w:val="000000"/>
          <w:sz w:val="24"/>
        </w:rPr>
        <w:t>2013年10月至今任本行董事长、执行董事，2013年5月至2013年10月任本行董事长、执行董事、行长，2009年12月至2013年5月任</w:t>
      </w:r>
      <w:r>
        <w:rPr>
          <w:rFonts w:ascii="宋体" w:hAnsi="宋体" w:hint="eastAsia"/>
          <w:color w:val="000000"/>
          <w:sz w:val="24"/>
        </w:rPr>
        <w:t>本行副董事长、执行董事、行长。牛先生</w:t>
      </w:r>
      <w:r>
        <w:rPr>
          <w:rFonts w:ascii="宋体" w:hAnsi="宋体"/>
          <w:color w:val="000000"/>
          <w:sz w:val="24"/>
        </w:rPr>
        <w:t>1983年毕业于中央财经大学金融系，获学士学位，1997年毕业于哈尔滨工业大学管理学院技术经济专业，获硕士学位，1999年享受国务院颁发的政府特殊津贴。</w:t>
      </w:r>
    </w:p>
    <w:p w14:paraId="6DE65C0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彭纯先生，副董事长、执行董事、行长。</w:t>
      </w:r>
    </w:p>
    <w:p w14:paraId="39647EA3"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彭先生</w:t>
      </w:r>
      <w:r>
        <w:rPr>
          <w:rFonts w:ascii="宋体" w:hAnsi="宋体"/>
          <w:color w:val="000000"/>
          <w:sz w:val="24"/>
        </w:rPr>
        <w:t>2013年11月起任</w:t>
      </w:r>
      <w:r>
        <w:rPr>
          <w:rFonts w:ascii="宋体" w:hAnsi="宋体" w:hint="eastAsia"/>
          <w:color w:val="000000"/>
          <w:sz w:val="24"/>
        </w:rPr>
        <w:t>本行副董事长、执行董事，</w:t>
      </w:r>
      <w:r>
        <w:rPr>
          <w:rFonts w:ascii="宋体" w:hAnsi="宋体"/>
          <w:color w:val="000000"/>
          <w:sz w:val="24"/>
        </w:rPr>
        <w:t>2013年10月起任本行行长；2010年4月至2013年9月任中国投资有限责任公司副总经理兼中央汇金投资有限责任公司执行董事、总经理；2005年8月至2010年4月任本行执行董事、副行长；2004年9月至2005年8月任</w:t>
      </w:r>
      <w:r>
        <w:rPr>
          <w:rFonts w:ascii="宋体" w:hAnsi="宋体" w:hint="eastAsia"/>
          <w:color w:val="000000"/>
          <w:sz w:val="24"/>
        </w:rPr>
        <w:t>本行副行长；</w:t>
      </w:r>
      <w:r>
        <w:rPr>
          <w:rFonts w:ascii="宋体" w:hAnsi="宋体"/>
          <w:color w:val="000000"/>
          <w:sz w:val="24"/>
        </w:rPr>
        <w:t>2004年6月至2004年9月任本行董事、行长助理；2001年9月至2004年6月任本行行长助理；1994年至2001年历任本行乌鲁木齐分行副行长、行长，南宁分行行长，广州分行行长。彭先生1986年于中国人民银行研究生部获经济学硕士学位。</w:t>
      </w:r>
    </w:p>
    <w:p w14:paraId="345DABAD" w14:textId="77777777" w:rsidR="007E2412" w:rsidRPr="007E2412" w:rsidRDefault="007E2412" w:rsidP="007E2412">
      <w:pPr>
        <w:snapToGrid w:val="0"/>
        <w:spacing w:line="360" w:lineRule="auto"/>
        <w:ind w:firstLineChars="200" w:firstLine="480"/>
        <w:rPr>
          <w:rFonts w:ascii="宋体" w:hAnsi="宋体"/>
          <w:color w:val="000000"/>
          <w:sz w:val="24"/>
        </w:rPr>
      </w:pPr>
      <w:r w:rsidRPr="007E2412">
        <w:rPr>
          <w:rFonts w:ascii="宋体" w:hAnsi="宋体" w:hint="eastAsia"/>
          <w:color w:val="000000"/>
          <w:sz w:val="24"/>
        </w:rPr>
        <w:t>袁庆伟女士，资产托管业务中心总裁。</w:t>
      </w:r>
    </w:p>
    <w:p w14:paraId="43706281" w14:textId="5D5BD83C" w:rsidR="007E2412" w:rsidRDefault="007E2412">
      <w:pPr>
        <w:snapToGrid w:val="0"/>
        <w:spacing w:line="372" w:lineRule="auto"/>
        <w:ind w:firstLineChars="200" w:firstLine="480"/>
        <w:rPr>
          <w:rFonts w:ascii="宋体" w:hAnsi="宋体"/>
          <w:color w:val="000000"/>
          <w:sz w:val="24"/>
        </w:rPr>
      </w:pPr>
      <w:r w:rsidRPr="007E2412">
        <w:rPr>
          <w:rFonts w:ascii="宋体" w:hAnsi="宋体" w:hint="eastAsia"/>
          <w:color w:val="000000"/>
          <w:sz w:val="24"/>
        </w:rPr>
        <w:t>袁女士2015年8月起任本行资产托管业务中心总裁；</w:t>
      </w:r>
      <w:r w:rsidRPr="007E2412">
        <w:rPr>
          <w:rFonts w:ascii="宋体" w:hAnsi="宋体"/>
          <w:color w:val="000000"/>
          <w:sz w:val="24"/>
        </w:rPr>
        <w:t>20</w:t>
      </w:r>
      <w:r w:rsidRPr="007E2412">
        <w:rPr>
          <w:rFonts w:ascii="宋体" w:hAnsi="宋体" w:hint="eastAsia"/>
          <w:color w:val="000000"/>
          <w:sz w:val="24"/>
        </w:rPr>
        <w:t>07年12月至2015年8月，历任本行资产托管部总经理助理、副总经理，本行资产托管业务中心副总裁；</w:t>
      </w:r>
      <w:r w:rsidRPr="007E2412">
        <w:rPr>
          <w:rFonts w:ascii="宋体" w:hAnsi="宋体"/>
          <w:color w:val="000000"/>
          <w:sz w:val="24"/>
        </w:rPr>
        <w:t>1999</w:t>
      </w:r>
      <w:r w:rsidRPr="007E2412">
        <w:rPr>
          <w:rFonts w:ascii="宋体" w:hAnsi="宋体" w:hint="eastAsia"/>
          <w:color w:val="000000"/>
          <w:sz w:val="24"/>
        </w:rPr>
        <w:t>年</w:t>
      </w:r>
      <w:r w:rsidRPr="007E2412">
        <w:rPr>
          <w:rFonts w:ascii="宋体" w:hAnsi="宋体"/>
          <w:color w:val="000000"/>
          <w:sz w:val="24"/>
        </w:rPr>
        <w:t>12</w:t>
      </w:r>
      <w:r w:rsidRPr="007E2412">
        <w:rPr>
          <w:rFonts w:ascii="宋体" w:hAnsi="宋体" w:hint="eastAsia"/>
          <w:color w:val="000000"/>
          <w:sz w:val="24"/>
        </w:rPr>
        <w:t>月至</w:t>
      </w:r>
      <w:r w:rsidRPr="007E2412">
        <w:rPr>
          <w:rFonts w:ascii="宋体" w:hAnsi="宋体"/>
          <w:color w:val="000000"/>
          <w:sz w:val="24"/>
        </w:rPr>
        <w:t>2007</w:t>
      </w:r>
      <w:r w:rsidRPr="007E2412">
        <w:rPr>
          <w:rFonts w:ascii="宋体" w:hAnsi="宋体" w:hint="eastAsia"/>
          <w:color w:val="000000"/>
          <w:sz w:val="24"/>
        </w:rPr>
        <w:t>年</w:t>
      </w:r>
      <w:r w:rsidRPr="007E2412">
        <w:rPr>
          <w:rFonts w:ascii="宋体" w:hAnsi="宋体"/>
          <w:color w:val="000000"/>
          <w:sz w:val="24"/>
        </w:rPr>
        <w:t>12</w:t>
      </w:r>
      <w:r w:rsidRPr="007E2412">
        <w:rPr>
          <w:rFonts w:ascii="宋体" w:hAnsi="宋体" w:hint="eastAsia"/>
          <w:color w:val="000000"/>
          <w:sz w:val="24"/>
        </w:rPr>
        <w:t>月，历任本行乌鲁木齐分行财务会计部副科长、科长、处长助理、副处长，会计结算部高级经理。袁女士1992年毕业于中国石油大学计算机科学系，获得学士学位，2005年于新疆财经学院获硕士学位。</w:t>
      </w:r>
    </w:p>
    <w:p w14:paraId="17077380" w14:textId="77777777" w:rsidR="00DD2567" w:rsidRDefault="00680E4C">
      <w:pPr>
        <w:snapToGrid w:val="0"/>
        <w:spacing w:line="372"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、基金托管业务经营情况</w:t>
      </w:r>
    </w:p>
    <w:p w14:paraId="13E6C23B" w14:textId="3D040F09" w:rsidR="00DD2567" w:rsidRDefault="00485EEA">
      <w:pPr>
        <w:snapToGrid w:val="0"/>
        <w:spacing w:line="360" w:lineRule="auto"/>
        <w:ind w:firstLineChars="200" w:firstLine="480"/>
        <w:rPr>
          <w:rFonts w:ascii="宋体" w:hAnsi="宋体"/>
          <w:color w:val="000000"/>
          <w:sz w:val="24"/>
        </w:rPr>
      </w:pPr>
      <w:r w:rsidRPr="00F277DD">
        <w:rPr>
          <w:rFonts w:ascii="宋体" w:hAnsi="宋体" w:hint="eastAsia"/>
          <w:color w:val="000000"/>
          <w:sz w:val="24"/>
        </w:rPr>
        <w:t>截止</w:t>
      </w:r>
      <w:r w:rsidRPr="00F277DD">
        <w:rPr>
          <w:rFonts w:ascii="宋体" w:hAnsi="宋体"/>
          <w:color w:val="000000"/>
          <w:sz w:val="24"/>
        </w:rPr>
        <w:t>201</w:t>
      </w:r>
      <w:r>
        <w:rPr>
          <w:rFonts w:ascii="宋体" w:hAnsi="宋体"/>
          <w:color w:val="000000"/>
          <w:sz w:val="24"/>
        </w:rPr>
        <w:t>6</w:t>
      </w:r>
      <w:r w:rsidRPr="00F277DD">
        <w:rPr>
          <w:rFonts w:ascii="宋体" w:hAnsi="宋体"/>
          <w:color w:val="000000"/>
          <w:sz w:val="24"/>
        </w:rPr>
        <w:t>年</w:t>
      </w:r>
      <w:r>
        <w:rPr>
          <w:rFonts w:ascii="宋体" w:hAnsi="宋体" w:hint="eastAsia"/>
          <w:color w:val="000000"/>
          <w:sz w:val="24"/>
        </w:rPr>
        <w:t>6月3</w:t>
      </w:r>
      <w:r>
        <w:rPr>
          <w:rFonts w:ascii="宋体" w:hAnsi="宋体"/>
          <w:color w:val="000000"/>
          <w:sz w:val="24"/>
        </w:rPr>
        <w:t>0</w:t>
      </w:r>
      <w:r>
        <w:rPr>
          <w:rFonts w:ascii="宋体" w:hAnsi="宋体" w:hint="eastAsia"/>
          <w:color w:val="000000"/>
          <w:sz w:val="24"/>
        </w:rPr>
        <w:t>日</w:t>
      </w:r>
      <w:r w:rsidRPr="00F277DD">
        <w:rPr>
          <w:rFonts w:ascii="宋体" w:hAnsi="宋体"/>
          <w:color w:val="000000"/>
          <w:sz w:val="24"/>
        </w:rPr>
        <w:t>，交通银行共托管证券投资基金</w:t>
      </w:r>
      <w:r>
        <w:rPr>
          <w:rFonts w:ascii="宋体" w:hAnsi="宋体" w:hint="eastAsia"/>
          <w:color w:val="000000"/>
          <w:sz w:val="24"/>
        </w:rPr>
        <w:t>1</w:t>
      </w:r>
      <w:r>
        <w:rPr>
          <w:rFonts w:ascii="宋体" w:hAnsi="宋体"/>
          <w:color w:val="000000"/>
          <w:sz w:val="24"/>
        </w:rPr>
        <w:t>75</w:t>
      </w:r>
      <w:r w:rsidRPr="00F277DD">
        <w:rPr>
          <w:rFonts w:ascii="宋体" w:hAnsi="宋体"/>
          <w:color w:val="000000"/>
          <w:sz w:val="24"/>
        </w:rPr>
        <w:t>只。此外，</w:t>
      </w:r>
      <w:r>
        <w:rPr>
          <w:rFonts w:ascii="宋体" w:hAnsi="宋体" w:hint="eastAsia"/>
          <w:color w:val="000000"/>
          <w:sz w:val="24"/>
        </w:rPr>
        <w:t>交通银行</w:t>
      </w:r>
      <w:r w:rsidRPr="00F277DD">
        <w:rPr>
          <w:rFonts w:ascii="宋体" w:hAnsi="宋体"/>
          <w:color w:val="000000"/>
          <w:sz w:val="24"/>
        </w:rPr>
        <w:t>还托管了</w:t>
      </w:r>
      <w:r w:rsidRPr="00892F5A">
        <w:rPr>
          <w:rFonts w:ascii="宋体" w:hAnsi="宋体" w:hint="eastAsia"/>
          <w:color w:val="000000"/>
          <w:sz w:val="24"/>
        </w:rPr>
        <w:t>基金公司特定客户资产管理计划、证券公司客户资产管理计划、银行理财产品、信托计划、私募投资基金、保险资金、全国社保基金、养老保障管理基金、企业年金基金、QFII证券投资资产、RQFII证券投资资产、QDII</w:t>
      </w:r>
      <w:r>
        <w:rPr>
          <w:rFonts w:ascii="宋体" w:hAnsi="宋体" w:hint="eastAsia"/>
          <w:color w:val="000000"/>
          <w:sz w:val="24"/>
        </w:rPr>
        <w:t>证</w:t>
      </w:r>
      <w:r w:rsidRPr="00892F5A">
        <w:rPr>
          <w:rFonts w:ascii="宋体" w:hAnsi="宋体" w:hint="eastAsia"/>
          <w:color w:val="000000"/>
          <w:sz w:val="24"/>
        </w:rPr>
        <w:t>券投资资产和QDLP资金等产品。</w:t>
      </w:r>
    </w:p>
    <w:p w14:paraId="16B604EA"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二、基金托管人的内部控制制度</w:t>
      </w:r>
    </w:p>
    <w:p w14:paraId="5FE73051"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1、内部控制目标</w:t>
      </w:r>
    </w:p>
    <w:p w14:paraId="43356CD1"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严格遵守国家法律法规、行业规章及行内相关管理规定，加强内部管理，保</w:t>
      </w:r>
      <w:r>
        <w:rPr>
          <w:rFonts w:ascii="宋体" w:hAnsi="宋体" w:hint="eastAsia"/>
          <w:color w:val="000000"/>
          <w:sz w:val="24"/>
        </w:rPr>
        <w:lastRenderedPageBreak/>
        <w:t>证资产托管部业务规章的健全和各项规章的贯彻执行，通过对各种风险的梳理、评估、监控，有效地实现对各项业务风险的监控和管理，确保业务稳健运行，保护基金持有人的合法权益。</w:t>
      </w:r>
    </w:p>
    <w:p w14:paraId="739C5C26"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2、内部控制原则</w:t>
      </w:r>
    </w:p>
    <w:p w14:paraId="50880FEB"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w:t>
      </w:r>
      <w:r>
        <w:rPr>
          <w:rFonts w:ascii="宋体" w:hAnsi="宋体"/>
          <w:color w:val="000000"/>
          <w:sz w:val="24"/>
        </w:rPr>
        <w:t>1）全面性原则：</w:t>
      </w:r>
      <w:r>
        <w:rPr>
          <w:rFonts w:ascii="宋体" w:hAnsi="宋体" w:hint="eastAsia"/>
          <w:color w:val="000000"/>
          <w:sz w:val="24"/>
        </w:rPr>
        <w:t>通过各个处室自我监控和专门内控处室的风险监控的内部控制机制覆盖各项业务、各个部门和各级人员，并渗透到决策、执行、监督、反馈等各个经营环节，建立全面的风险管理监督机制。</w:t>
      </w:r>
    </w:p>
    <w:p w14:paraId="0ED79CCA"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w:t>
      </w:r>
      <w:r>
        <w:rPr>
          <w:rFonts w:ascii="宋体" w:hAnsi="宋体"/>
          <w:color w:val="000000"/>
          <w:sz w:val="24"/>
        </w:rPr>
        <w:t>2）独立性原则：</w:t>
      </w:r>
      <w:r>
        <w:rPr>
          <w:rFonts w:ascii="宋体" w:hAnsi="宋体" w:hint="eastAsia"/>
          <w:color w:val="000000"/>
          <w:sz w:val="24"/>
        </w:rPr>
        <w:t>交通银行资产托管部独立负责受托基金资产的保管，保证基金资产与交通银行的自有资产相互独立，对不同的受托基金分别设置账户，独立核算，分账管理。</w:t>
      </w:r>
    </w:p>
    <w:p w14:paraId="00A6B2E0"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w:t>
      </w:r>
      <w:r>
        <w:rPr>
          <w:rFonts w:ascii="宋体" w:hAnsi="宋体"/>
          <w:color w:val="000000"/>
          <w:sz w:val="24"/>
        </w:rPr>
        <w:t>3）制衡性原则：</w:t>
      </w:r>
      <w:r>
        <w:rPr>
          <w:rFonts w:ascii="宋体" w:hAnsi="宋体" w:hint="eastAsia"/>
          <w:color w:val="000000"/>
          <w:sz w:val="24"/>
        </w:rPr>
        <w:t>贯彻适当授权、相互制约的原则，从组织结构的设置上确保各处室和各岗位权责分明、相互牵制，并通过有效的相互制衡措施消除内部控制中的盲点。</w:t>
      </w:r>
    </w:p>
    <w:p w14:paraId="1628E56A"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w:t>
      </w:r>
      <w:r>
        <w:rPr>
          <w:rFonts w:ascii="宋体" w:hAnsi="宋体"/>
          <w:color w:val="000000"/>
          <w:sz w:val="24"/>
        </w:rPr>
        <w:t>4）有效性原则：</w:t>
      </w:r>
      <w:r>
        <w:rPr>
          <w:rFonts w:ascii="宋体" w:hAnsi="宋体" w:hint="eastAsia"/>
          <w:color w:val="000000"/>
          <w:sz w:val="24"/>
        </w:rPr>
        <w:t>在岗位、处室和内控处室三级内控管理模式的基础上，形成科学合理的内部控制决策机制、执行机制和监督机制，通过行之有效的控制流程、控制措施，建立合理的内控程序，保障内控管理的有效执行。</w:t>
      </w:r>
    </w:p>
    <w:p w14:paraId="39F5C32A"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w:t>
      </w:r>
      <w:r>
        <w:rPr>
          <w:rFonts w:ascii="宋体" w:hAnsi="宋体"/>
          <w:color w:val="000000"/>
          <w:sz w:val="24"/>
        </w:rPr>
        <w:t>5）效益性原则：</w:t>
      </w:r>
      <w:r>
        <w:rPr>
          <w:rFonts w:ascii="宋体" w:hAnsi="宋体" w:hint="eastAsia"/>
          <w:color w:val="000000"/>
          <w:sz w:val="24"/>
        </w:rPr>
        <w:t>内部控制与基金托管规模、业务范围和业务运作环节的风险控制要求相适应，尽量降低经营运作成本，以合理的控制成本实现最佳的内部控制目标。</w:t>
      </w:r>
    </w:p>
    <w:p w14:paraId="244CF551"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3、内部控制制度及措施</w:t>
      </w:r>
    </w:p>
    <w:p w14:paraId="376BF87F" w14:textId="77777777" w:rsidR="00DD2567" w:rsidRDefault="00680E4C">
      <w:pPr>
        <w:snapToGrid w:val="0"/>
        <w:spacing w:line="372" w:lineRule="auto"/>
        <w:ind w:firstLineChars="200" w:firstLine="480"/>
        <w:rPr>
          <w:rFonts w:ascii="宋体" w:hAnsi="宋体"/>
          <w:color w:val="000000"/>
          <w:sz w:val="24"/>
        </w:rPr>
      </w:pPr>
      <w:r>
        <w:rPr>
          <w:rFonts w:ascii="宋体" w:hAnsi="宋体" w:hint="eastAsia"/>
          <w:color w:val="000000"/>
          <w:sz w:val="24"/>
        </w:rPr>
        <w:t>根据《证券投资基金法》、《中华人民共和国商业银行法》等法律法规，基金托管人制定了一整套严密、高效的证券投资基金托管管理规章制度，确保基金托管业务运行的规范、安全、高效，包括《交通银行资产托管业务管理暂行办法》、《交通银行资产托管部业务风险管理暂行办法》、《交通银行资产托管部项目开发管理办法》、《交通银行资产托管部信息披露制度》、《交通银行资产托管部保密工作制度》、《交通银行资产托管业务从业人员守则》、《交通银行资产托管部业务资料管理制度》等，并根据市场变化和基金业务的发展不断加以完善。做到业务分工合理，技术系统完整独立，业务管理制度化，核心作业区实行封闭管理，有关信息披露由专人负责。</w:t>
      </w:r>
    </w:p>
    <w:p w14:paraId="4428F255"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lastRenderedPageBreak/>
        <w:t>基金托管人通过基金托管业务各环节风险的事前揭示、事中控制和事后稽核的动态管理过程来实施内部风险控制，为了保障内控管理的有效执行，聘请国际著名会计师事务所对基金托管业务运行进行内部控制评审。</w:t>
      </w:r>
    </w:p>
    <w:p w14:paraId="71E58AA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三、基金托管人对基金管理人运作基金进行监督的方法和程序</w:t>
      </w:r>
    </w:p>
    <w:p w14:paraId="0E063352"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根据《证券投资基金法》、《公开募集证券投资基金运作管理办法》和有关证券法规的规定，基金托管人对基金的投资对象、基金资产的投资组合比例、基金资产的核算、基金资产净值的计算、基金管理人报酬的计提和支付、基金托管人报酬的计提和支付、基金的申购资金的到账与赎回资金的划付、基金收益分配等行为的合法性、合规性进行监督和核查。</w:t>
      </w:r>
    </w:p>
    <w:p w14:paraId="1EEB78E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托管人发现基金管理人有违反《证券投资基金法》、《公开募集证券投资基金运作管理办法》等有关证券法规和《基金合同》的行为，应当及时通知基金管理人予以纠正，基金管理人收到通知后及时核对确认并进行调整。基金托管人有权对通知事项进行复查，督促基金管理人改正。基金管理人对基金托管人通知的违规事项未能及时纠正的，基金托管人须报告中国证监会。</w:t>
      </w:r>
    </w:p>
    <w:p w14:paraId="4A890A0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基金托管人发现基金管理人有重大违规行为，须立即报告中国证监会，同时通知基金管理人限期纠正。</w:t>
      </w:r>
    </w:p>
    <w:p w14:paraId="0652BAE3" w14:textId="77777777" w:rsidR="00DD2567" w:rsidRDefault="00680E4C">
      <w:pPr>
        <w:snapToGrid w:val="0"/>
        <w:spacing w:line="360" w:lineRule="auto"/>
        <w:ind w:firstLineChars="200" w:firstLine="480"/>
        <w:rPr>
          <w:rFonts w:ascii="宋体" w:hAnsi="宋体"/>
          <w:color w:val="000000"/>
          <w:sz w:val="24"/>
        </w:rPr>
      </w:pPr>
      <w:r>
        <w:rPr>
          <w:rFonts w:ascii="宋体" w:hAnsi="宋体"/>
          <w:color w:val="000000"/>
          <w:sz w:val="24"/>
        </w:rPr>
        <w:t>四</w:t>
      </w:r>
      <w:r>
        <w:rPr>
          <w:rFonts w:ascii="宋体" w:hAnsi="宋体" w:hint="eastAsia"/>
          <w:color w:val="000000"/>
          <w:sz w:val="24"/>
        </w:rPr>
        <w:t>、其他事项</w:t>
      </w:r>
    </w:p>
    <w:p w14:paraId="2ED8521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最近一年内交通银行及其负责资产托管业务的高级管理人员无重大违法违规行为，未受到中国人民银行、中国证监会、中国银监会及其他有关机关的处罚。负责基金托管业务的高级管理人员在基金管理公司无兼职的情况。</w:t>
      </w:r>
    </w:p>
    <w:p w14:paraId="3BD2C620" w14:textId="77777777" w:rsidR="00DD2567" w:rsidRDefault="00680E4C">
      <w:pPr>
        <w:pStyle w:val="1"/>
        <w:spacing w:before="0" w:after="0"/>
        <w:jc w:val="center"/>
        <w:rPr>
          <w:rFonts w:ascii="Times New Roman"/>
          <w:color w:val="auto"/>
          <w:sz w:val="30"/>
        </w:rPr>
      </w:pPr>
      <w:bookmarkStart w:id="80" w:name="_Toc18526"/>
      <w:bookmarkStart w:id="81" w:name="_Toc4741"/>
      <w:bookmarkStart w:id="82" w:name="_Toc18797"/>
      <w:bookmarkStart w:id="83" w:name="_Toc14893"/>
      <w:bookmarkStart w:id="84" w:name="_Toc139991735"/>
      <w:bookmarkStart w:id="85" w:name="_Toc141703885"/>
      <w:bookmarkStart w:id="86" w:name="_Toc17912"/>
      <w:bookmarkStart w:id="87" w:name="_Toc26986"/>
      <w:bookmarkStart w:id="88" w:name="_Toc1823"/>
      <w:bookmarkStart w:id="89" w:name="_Toc7848"/>
      <w:bookmarkStart w:id="90" w:name="_Toc18329"/>
      <w:bookmarkStart w:id="91" w:name="_Toc21988"/>
      <w:r>
        <w:rPr>
          <w:rFonts w:ascii="Times New Roman"/>
          <w:color w:val="auto"/>
          <w:sz w:val="30"/>
        </w:rPr>
        <w:br w:type="page"/>
      </w:r>
      <w:bookmarkStart w:id="92" w:name="_Toc342469894"/>
      <w:r>
        <w:rPr>
          <w:rFonts w:ascii="Times New Roman"/>
          <w:color w:val="auto"/>
          <w:sz w:val="30"/>
        </w:rPr>
        <w:lastRenderedPageBreak/>
        <w:t>第五部分</w:t>
      </w:r>
      <w:bookmarkEnd w:id="80"/>
      <w:bookmarkEnd w:id="81"/>
      <w:bookmarkEnd w:id="82"/>
      <w:bookmarkEnd w:id="83"/>
      <w:bookmarkEnd w:id="84"/>
      <w:bookmarkEnd w:id="85"/>
      <w:bookmarkEnd w:id="86"/>
      <w:bookmarkEnd w:id="87"/>
      <w:bookmarkEnd w:id="88"/>
      <w:bookmarkEnd w:id="89"/>
      <w:bookmarkEnd w:id="90"/>
      <w:bookmarkEnd w:id="91"/>
      <w:r w:rsidR="00625BE6">
        <w:rPr>
          <w:rFonts w:ascii="Times New Roman" w:hint="eastAsia"/>
          <w:color w:val="auto"/>
          <w:sz w:val="30"/>
        </w:rPr>
        <w:t xml:space="preserve"> </w:t>
      </w:r>
      <w:r>
        <w:rPr>
          <w:rFonts w:ascii="Times New Roman" w:hint="eastAsia"/>
          <w:color w:val="auto"/>
          <w:sz w:val="30"/>
        </w:rPr>
        <w:t>相关服务机构</w:t>
      </w:r>
      <w:bookmarkEnd w:id="92"/>
    </w:p>
    <w:p w14:paraId="20079E2E" w14:textId="77777777" w:rsidR="00DD2567" w:rsidRDefault="00DD2567">
      <w:pPr>
        <w:spacing w:line="360" w:lineRule="auto"/>
        <w:ind w:firstLine="540"/>
        <w:rPr>
          <w:bCs/>
          <w:sz w:val="24"/>
        </w:rPr>
      </w:pPr>
    </w:p>
    <w:p w14:paraId="5F4C1B6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一、销售机构</w:t>
      </w:r>
    </w:p>
    <w:p w14:paraId="05C456AD" w14:textId="77777777" w:rsidR="00DD2567" w:rsidRDefault="00680E4C">
      <w:pPr>
        <w:snapToGrid w:val="0"/>
        <w:spacing w:line="360" w:lineRule="auto"/>
        <w:ind w:firstLineChars="177" w:firstLine="425"/>
        <w:rPr>
          <w:rFonts w:ascii="宋体" w:hAnsi="宋体"/>
          <w:bCs/>
          <w:sz w:val="24"/>
        </w:rPr>
      </w:pPr>
      <w:r>
        <w:rPr>
          <w:rFonts w:ascii="宋体" w:hAnsi="宋体" w:hint="eastAsia"/>
          <w:bCs/>
          <w:sz w:val="24"/>
        </w:rPr>
        <w:t>1、直销机构</w:t>
      </w:r>
    </w:p>
    <w:p w14:paraId="583DE1EB"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（1）浙商基金管理有限公司直销中心</w:t>
      </w:r>
    </w:p>
    <w:p w14:paraId="5910E19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办公地址：上海市浦东新区陆家嘴西路99号万向大厦10楼</w:t>
      </w:r>
    </w:p>
    <w:p w14:paraId="77AC3DCA" w14:textId="5FC1A90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电话：</w:t>
      </w:r>
      <w:r>
        <w:rPr>
          <w:rFonts w:ascii="宋体" w:hAnsi="宋体"/>
          <w:color w:val="000000"/>
          <w:sz w:val="24"/>
        </w:rPr>
        <w:t>021-6035085</w:t>
      </w:r>
      <w:r w:rsidR="00A85E69">
        <w:rPr>
          <w:rFonts w:ascii="宋体" w:hAnsi="宋体"/>
          <w:color w:val="000000"/>
          <w:sz w:val="24"/>
        </w:rPr>
        <w:t>7</w:t>
      </w:r>
    </w:p>
    <w:p w14:paraId="25CB74F5" w14:textId="237E6CCD"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传真：021-60350</w:t>
      </w:r>
      <w:r w:rsidR="00A85E69">
        <w:rPr>
          <w:rFonts w:ascii="宋体" w:hAnsi="宋体" w:hint="eastAsia"/>
          <w:color w:val="000000"/>
          <w:sz w:val="24"/>
        </w:rPr>
        <w:t>836</w:t>
      </w:r>
    </w:p>
    <w:p w14:paraId="0952972D" w14:textId="4420C698"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联系人：</w:t>
      </w:r>
      <w:r w:rsidR="00A85E69">
        <w:rPr>
          <w:rFonts w:ascii="宋体" w:hAnsi="宋体" w:hint="eastAsia"/>
          <w:color w:val="000000"/>
          <w:sz w:val="24"/>
        </w:rPr>
        <w:t>邹钧乐</w:t>
      </w:r>
    </w:p>
    <w:p w14:paraId="407E475B"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（2）浙商基金管理有限公司网上直销</w:t>
      </w:r>
    </w:p>
    <w:p w14:paraId="478435C4"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公司网址：</w:t>
      </w:r>
      <w:hyperlink r:id="rId11" w:history="1">
        <w:r>
          <w:rPr>
            <w:rFonts w:ascii="宋体" w:hAnsi="宋体" w:hint="eastAsia"/>
            <w:color w:val="000000"/>
            <w:sz w:val="24"/>
          </w:rPr>
          <w:t>http://www.zsfund.com</w:t>
        </w:r>
      </w:hyperlink>
    </w:p>
    <w:p w14:paraId="360F7386"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客服电话：</w:t>
      </w:r>
      <w:r>
        <w:rPr>
          <w:rFonts w:ascii="宋体" w:hAnsi="宋体"/>
          <w:color w:val="000000"/>
          <w:sz w:val="24"/>
        </w:rPr>
        <w:t>400-067-9908</w:t>
      </w:r>
      <w:r>
        <w:rPr>
          <w:rFonts w:ascii="宋体" w:hAnsi="宋体" w:hint="eastAsia"/>
          <w:color w:val="000000"/>
          <w:sz w:val="24"/>
        </w:rPr>
        <w:t>（免长途话费）；</w:t>
      </w:r>
      <w:r>
        <w:rPr>
          <w:rFonts w:ascii="宋体" w:hAnsi="宋体"/>
          <w:color w:val="000000"/>
          <w:sz w:val="24"/>
        </w:rPr>
        <w:t>021-60359000</w:t>
      </w:r>
    </w:p>
    <w:p w14:paraId="09CFB4EC" w14:textId="77777777" w:rsidR="005C3D97" w:rsidRPr="00597B1D" w:rsidRDefault="005C3D97" w:rsidP="005C3D97">
      <w:pPr>
        <w:snapToGrid w:val="0"/>
        <w:spacing w:line="360" w:lineRule="auto"/>
        <w:ind w:firstLineChars="200" w:firstLine="480"/>
        <w:rPr>
          <w:rFonts w:ascii="宋体" w:hAnsi="宋体"/>
          <w:color w:val="000000"/>
          <w:sz w:val="24"/>
        </w:rPr>
      </w:pPr>
      <w:r w:rsidRPr="00597B1D">
        <w:rPr>
          <w:rFonts w:ascii="宋体" w:hAnsi="宋体" w:hint="eastAsia"/>
          <w:color w:val="000000"/>
          <w:sz w:val="24"/>
        </w:rPr>
        <w:t>2、</w:t>
      </w:r>
      <w:r>
        <w:rPr>
          <w:rFonts w:ascii="宋体" w:hAnsi="宋体" w:hint="eastAsia"/>
          <w:color w:val="000000"/>
          <w:sz w:val="24"/>
        </w:rPr>
        <w:t>代销</w:t>
      </w:r>
      <w:r w:rsidRPr="00597B1D">
        <w:rPr>
          <w:rFonts w:ascii="宋体" w:hAnsi="宋体" w:hint="eastAsia"/>
          <w:color w:val="000000"/>
          <w:sz w:val="24"/>
        </w:rPr>
        <w:t>机构</w:t>
      </w:r>
    </w:p>
    <w:p w14:paraId="77F4F42C" w14:textId="77777777" w:rsidR="005C3D97" w:rsidRPr="00784D7F" w:rsidRDefault="005C3D97" w:rsidP="005C3D97">
      <w:pPr>
        <w:snapToGrid w:val="0"/>
        <w:spacing w:line="360" w:lineRule="auto"/>
        <w:ind w:firstLineChars="200" w:firstLine="480"/>
        <w:rPr>
          <w:rFonts w:ascii="宋体" w:hAnsi="宋体"/>
          <w:color w:val="000000"/>
          <w:sz w:val="24"/>
        </w:rPr>
      </w:pPr>
      <w:bookmarkStart w:id="93" w:name="_Toc451428196"/>
      <w:r w:rsidRPr="00784D7F">
        <w:rPr>
          <w:rFonts w:ascii="宋体" w:hAnsi="宋体" w:hint="eastAsia"/>
          <w:color w:val="000000"/>
          <w:sz w:val="24"/>
        </w:rPr>
        <w:t>上海天天基金销售有限公司</w:t>
      </w:r>
      <w:bookmarkEnd w:id="93"/>
    </w:p>
    <w:p w14:paraId="0B482D95" w14:textId="77777777" w:rsidR="005C3D97" w:rsidRPr="00784D7F" w:rsidRDefault="005C3D97" w:rsidP="005C3D97">
      <w:pPr>
        <w:snapToGrid w:val="0"/>
        <w:spacing w:line="360" w:lineRule="auto"/>
        <w:ind w:firstLineChars="200" w:firstLine="480"/>
        <w:rPr>
          <w:rFonts w:ascii="宋体" w:hAnsi="宋体"/>
          <w:color w:val="000000"/>
          <w:sz w:val="24"/>
        </w:rPr>
      </w:pPr>
      <w:r w:rsidRPr="00784D7F">
        <w:rPr>
          <w:rFonts w:ascii="宋体" w:hAnsi="宋体" w:hint="eastAsia"/>
          <w:color w:val="000000"/>
          <w:sz w:val="24"/>
        </w:rPr>
        <w:t>住所：浦东新区峨山路</w:t>
      </w:r>
      <w:r w:rsidRPr="00784D7F">
        <w:rPr>
          <w:rFonts w:ascii="宋体" w:hAnsi="宋体"/>
          <w:color w:val="000000"/>
          <w:sz w:val="24"/>
        </w:rPr>
        <w:t>613</w:t>
      </w:r>
      <w:r w:rsidRPr="00784D7F">
        <w:rPr>
          <w:rFonts w:ascii="宋体" w:hAnsi="宋体" w:hint="eastAsia"/>
          <w:color w:val="000000"/>
          <w:sz w:val="24"/>
        </w:rPr>
        <w:t>号</w:t>
      </w:r>
      <w:r w:rsidRPr="00784D7F">
        <w:rPr>
          <w:rFonts w:ascii="宋体" w:hAnsi="宋体"/>
          <w:color w:val="000000"/>
          <w:sz w:val="24"/>
        </w:rPr>
        <w:t>6</w:t>
      </w:r>
      <w:r w:rsidRPr="00784D7F">
        <w:rPr>
          <w:rFonts w:ascii="宋体" w:hAnsi="宋体" w:hint="eastAsia"/>
          <w:color w:val="000000"/>
          <w:sz w:val="24"/>
        </w:rPr>
        <w:t>幢</w:t>
      </w:r>
      <w:r w:rsidRPr="00784D7F">
        <w:rPr>
          <w:rFonts w:ascii="宋体" w:hAnsi="宋体"/>
          <w:color w:val="000000"/>
          <w:sz w:val="24"/>
        </w:rPr>
        <w:t>551</w:t>
      </w:r>
      <w:r w:rsidRPr="00784D7F">
        <w:rPr>
          <w:rFonts w:ascii="宋体" w:hAnsi="宋体" w:hint="eastAsia"/>
          <w:color w:val="000000"/>
          <w:sz w:val="24"/>
        </w:rPr>
        <w:t>室</w:t>
      </w:r>
    </w:p>
    <w:p w14:paraId="6B0956B6" w14:textId="77777777" w:rsidR="005C3D97" w:rsidRPr="00784D7F" w:rsidRDefault="005C3D97" w:rsidP="005C3D97">
      <w:pPr>
        <w:snapToGrid w:val="0"/>
        <w:spacing w:line="360" w:lineRule="auto"/>
        <w:ind w:firstLineChars="200" w:firstLine="480"/>
        <w:rPr>
          <w:rFonts w:ascii="宋体" w:hAnsi="宋体"/>
          <w:color w:val="000000"/>
          <w:sz w:val="24"/>
        </w:rPr>
      </w:pPr>
      <w:r w:rsidRPr="00784D7F">
        <w:rPr>
          <w:rFonts w:ascii="宋体" w:hAnsi="宋体" w:hint="eastAsia"/>
          <w:color w:val="000000"/>
          <w:sz w:val="24"/>
        </w:rPr>
        <w:t>办公地址：上海市徐汇区龙田路</w:t>
      </w:r>
      <w:r w:rsidRPr="00784D7F">
        <w:rPr>
          <w:rFonts w:ascii="宋体" w:hAnsi="宋体"/>
          <w:color w:val="000000"/>
          <w:sz w:val="24"/>
        </w:rPr>
        <w:t>195</w:t>
      </w:r>
      <w:r w:rsidRPr="00784D7F">
        <w:rPr>
          <w:rFonts w:ascii="宋体" w:hAnsi="宋体" w:hint="eastAsia"/>
          <w:color w:val="000000"/>
          <w:sz w:val="24"/>
        </w:rPr>
        <w:t>号</w:t>
      </w:r>
      <w:r w:rsidRPr="00784D7F">
        <w:rPr>
          <w:rFonts w:ascii="宋体" w:hAnsi="宋体"/>
          <w:color w:val="000000"/>
          <w:sz w:val="24"/>
        </w:rPr>
        <w:t>3C</w:t>
      </w:r>
      <w:r w:rsidRPr="00784D7F">
        <w:rPr>
          <w:rFonts w:ascii="宋体" w:hAnsi="宋体" w:hint="eastAsia"/>
          <w:color w:val="000000"/>
          <w:sz w:val="24"/>
        </w:rPr>
        <w:t>座</w:t>
      </w:r>
      <w:r w:rsidRPr="00784D7F">
        <w:rPr>
          <w:rFonts w:ascii="宋体" w:hAnsi="宋体"/>
          <w:color w:val="000000"/>
          <w:sz w:val="24"/>
        </w:rPr>
        <w:t>9</w:t>
      </w:r>
      <w:r w:rsidRPr="00784D7F">
        <w:rPr>
          <w:rFonts w:ascii="宋体" w:hAnsi="宋体" w:hint="eastAsia"/>
          <w:color w:val="000000"/>
          <w:sz w:val="24"/>
        </w:rPr>
        <w:t>楼</w:t>
      </w:r>
    </w:p>
    <w:p w14:paraId="60507D0D" w14:textId="77777777" w:rsidR="005C3D97" w:rsidRPr="00784D7F" w:rsidRDefault="005C3D97" w:rsidP="005C3D97">
      <w:pPr>
        <w:snapToGrid w:val="0"/>
        <w:spacing w:line="360" w:lineRule="auto"/>
        <w:ind w:firstLineChars="200" w:firstLine="480"/>
        <w:rPr>
          <w:rFonts w:ascii="宋体" w:hAnsi="宋体"/>
          <w:color w:val="000000"/>
          <w:sz w:val="24"/>
        </w:rPr>
      </w:pPr>
      <w:r w:rsidRPr="00784D7F">
        <w:rPr>
          <w:rFonts w:ascii="宋体" w:hAnsi="宋体" w:hint="eastAsia"/>
          <w:color w:val="000000"/>
          <w:sz w:val="24"/>
        </w:rPr>
        <w:t>法定代表人：其实</w:t>
      </w:r>
    </w:p>
    <w:p w14:paraId="0ADA3C29" w14:textId="77777777" w:rsidR="005C3D97" w:rsidRPr="00784D7F" w:rsidRDefault="005C3D97" w:rsidP="005C3D97">
      <w:pPr>
        <w:snapToGrid w:val="0"/>
        <w:spacing w:line="360" w:lineRule="auto"/>
        <w:ind w:firstLineChars="200" w:firstLine="480"/>
        <w:rPr>
          <w:rFonts w:ascii="宋体" w:hAnsi="宋体"/>
          <w:color w:val="000000"/>
          <w:sz w:val="24"/>
        </w:rPr>
      </w:pPr>
      <w:r w:rsidRPr="00784D7F">
        <w:rPr>
          <w:rFonts w:ascii="宋体" w:hAnsi="宋体" w:hint="eastAsia"/>
          <w:color w:val="000000"/>
          <w:sz w:val="24"/>
        </w:rPr>
        <w:t>联系电话：021-54509998</w:t>
      </w:r>
    </w:p>
    <w:p w14:paraId="71429B9A" w14:textId="77777777" w:rsidR="005C3D97" w:rsidRPr="00784D7F" w:rsidRDefault="005C3D97" w:rsidP="005C3D97">
      <w:pPr>
        <w:snapToGrid w:val="0"/>
        <w:spacing w:line="360" w:lineRule="auto"/>
        <w:ind w:firstLineChars="200" w:firstLine="480"/>
        <w:rPr>
          <w:rFonts w:ascii="宋体" w:hAnsi="宋体"/>
          <w:color w:val="000000"/>
          <w:sz w:val="24"/>
        </w:rPr>
      </w:pPr>
      <w:r w:rsidRPr="00784D7F">
        <w:rPr>
          <w:rFonts w:ascii="宋体" w:hAnsi="宋体" w:hint="eastAsia"/>
          <w:color w:val="000000"/>
          <w:sz w:val="24"/>
        </w:rPr>
        <w:t>传真：021-64385308</w:t>
      </w:r>
    </w:p>
    <w:p w14:paraId="23585151" w14:textId="77777777" w:rsidR="005C3D97" w:rsidRPr="00784D7F" w:rsidRDefault="005C3D97" w:rsidP="005C3D97">
      <w:pPr>
        <w:snapToGrid w:val="0"/>
        <w:spacing w:line="360" w:lineRule="auto"/>
        <w:ind w:firstLineChars="200" w:firstLine="480"/>
        <w:rPr>
          <w:rFonts w:ascii="宋体" w:hAnsi="宋体"/>
          <w:color w:val="000000"/>
          <w:sz w:val="24"/>
        </w:rPr>
      </w:pPr>
      <w:r w:rsidRPr="00784D7F">
        <w:rPr>
          <w:rFonts w:ascii="宋体" w:hAnsi="宋体" w:hint="eastAsia"/>
          <w:color w:val="000000"/>
          <w:sz w:val="24"/>
        </w:rPr>
        <w:t>客服电话：</w:t>
      </w:r>
      <w:r w:rsidRPr="00784D7F">
        <w:rPr>
          <w:rFonts w:ascii="宋体" w:hAnsi="宋体"/>
          <w:color w:val="000000"/>
          <w:sz w:val="24"/>
        </w:rPr>
        <w:t>4001818188</w:t>
      </w:r>
    </w:p>
    <w:p w14:paraId="0E345956" w14:textId="77777777" w:rsidR="005C3D97" w:rsidRPr="00784D7F" w:rsidRDefault="005C3D97" w:rsidP="005C3D97">
      <w:pPr>
        <w:snapToGrid w:val="0"/>
        <w:spacing w:line="360" w:lineRule="auto"/>
        <w:ind w:firstLineChars="200" w:firstLine="480"/>
        <w:rPr>
          <w:rFonts w:ascii="宋体" w:hAnsi="宋体"/>
          <w:color w:val="000000"/>
          <w:sz w:val="24"/>
        </w:rPr>
      </w:pPr>
      <w:r w:rsidRPr="00784D7F">
        <w:rPr>
          <w:rFonts w:ascii="宋体" w:hAnsi="宋体" w:hint="eastAsia"/>
          <w:color w:val="000000"/>
          <w:sz w:val="24"/>
        </w:rPr>
        <w:t>公司网址：http://</w:t>
      </w:r>
      <w:hyperlink r:id="rId12" w:history="1">
        <w:r w:rsidRPr="00784D7F">
          <w:rPr>
            <w:rFonts w:ascii="宋体" w:hAnsi="宋体"/>
            <w:color w:val="000000"/>
            <w:sz w:val="24"/>
          </w:rPr>
          <w:t>www.1234567.com.cn</w:t>
        </w:r>
      </w:hyperlink>
    </w:p>
    <w:p w14:paraId="7202B4F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二、登记机构</w:t>
      </w:r>
    </w:p>
    <w:p w14:paraId="6CE5A11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名称：浙商基金管理有限公司</w:t>
      </w:r>
    </w:p>
    <w:p w14:paraId="40624AF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住所：杭州市下城区环城北路208号1801室</w:t>
      </w:r>
    </w:p>
    <w:p w14:paraId="15E2F4EC" w14:textId="3E5FCBF9"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办公地址：</w:t>
      </w:r>
      <w:r>
        <w:rPr>
          <w:rFonts w:ascii="宋体" w:hAnsi="宋体"/>
          <w:color w:val="000000"/>
          <w:sz w:val="24"/>
        </w:rPr>
        <w:t>杭州市西湖区教工路18号世贸丽晶城欧美中心</w:t>
      </w:r>
      <w:r w:rsidR="00D76ECB">
        <w:rPr>
          <w:rFonts w:ascii="宋体" w:hAnsi="宋体"/>
          <w:color w:val="000000"/>
          <w:sz w:val="24"/>
        </w:rPr>
        <w:t>B座507室</w:t>
      </w:r>
    </w:p>
    <w:p w14:paraId="3EDAB9A2"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法定代表人：肖风</w:t>
      </w:r>
    </w:p>
    <w:p w14:paraId="681042A8" w14:textId="7C20E805"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电话：021-603508</w:t>
      </w:r>
      <w:r w:rsidR="00A85E69">
        <w:rPr>
          <w:rFonts w:ascii="宋体" w:hAnsi="宋体" w:hint="eastAsia"/>
          <w:color w:val="000000"/>
          <w:sz w:val="24"/>
        </w:rPr>
        <w:t>85</w:t>
      </w:r>
    </w:p>
    <w:p w14:paraId="52DA19D2" w14:textId="1571FC7C"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传真：021-60350</w:t>
      </w:r>
      <w:r w:rsidR="00A85E69">
        <w:rPr>
          <w:rFonts w:ascii="宋体" w:hAnsi="宋体" w:hint="eastAsia"/>
          <w:color w:val="000000"/>
          <w:sz w:val="24"/>
        </w:rPr>
        <w:t>836</w:t>
      </w:r>
    </w:p>
    <w:p w14:paraId="141D719F" w14:textId="50EFCD7B"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联系人：</w:t>
      </w:r>
      <w:r w:rsidR="00D76ECB">
        <w:rPr>
          <w:rFonts w:ascii="宋体" w:hAnsi="宋体"/>
          <w:bCs/>
          <w:sz w:val="24"/>
        </w:rPr>
        <w:t>史苑卓</w:t>
      </w:r>
    </w:p>
    <w:p w14:paraId="489C9C8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lastRenderedPageBreak/>
        <w:t>三、出具法律意见书的律师事务所</w:t>
      </w:r>
    </w:p>
    <w:p w14:paraId="3B2ECB7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名称：上海市通力律师事务所</w:t>
      </w:r>
    </w:p>
    <w:p w14:paraId="0D40E3A3"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住所：上海市银城中路</w:t>
      </w:r>
      <w:r>
        <w:rPr>
          <w:rFonts w:ascii="宋体" w:hAnsi="宋体"/>
          <w:color w:val="000000"/>
          <w:sz w:val="24"/>
        </w:rPr>
        <w:t>68</w:t>
      </w:r>
      <w:r>
        <w:rPr>
          <w:rFonts w:ascii="宋体" w:hAnsi="宋体" w:hint="eastAsia"/>
          <w:color w:val="000000"/>
          <w:sz w:val="24"/>
        </w:rPr>
        <w:t>号时代金融中心</w:t>
      </w:r>
      <w:r>
        <w:rPr>
          <w:rFonts w:ascii="宋体" w:hAnsi="宋体"/>
          <w:color w:val="000000"/>
          <w:sz w:val="24"/>
        </w:rPr>
        <w:t>19</w:t>
      </w:r>
      <w:r>
        <w:rPr>
          <w:rFonts w:ascii="宋体" w:hAnsi="宋体" w:hint="eastAsia"/>
          <w:color w:val="000000"/>
          <w:sz w:val="24"/>
        </w:rPr>
        <w:t>楼</w:t>
      </w:r>
    </w:p>
    <w:p w14:paraId="0D698F4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办公地址：上海市银城中路</w:t>
      </w:r>
      <w:r>
        <w:rPr>
          <w:rFonts w:ascii="宋体" w:hAnsi="宋体"/>
          <w:color w:val="000000"/>
          <w:sz w:val="24"/>
        </w:rPr>
        <w:t>68</w:t>
      </w:r>
      <w:r>
        <w:rPr>
          <w:rFonts w:ascii="宋体" w:hAnsi="宋体" w:hint="eastAsia"/>
          <w:color w:val="000000"/>
          <w:sz w:val="24"/>
        </w:rPr>
        <w:t>号时代金融中心</w:t>
      </w:r>
      <w:r>
        <w:rPr>
          <w:rFonts w:ascii="宋体" w:hAnsi="宋体"/>
          <w:color w:val="000000"/>
          <w:sz w:val="24"/>
        </w:rPr>
        <w:t>19</w:t>
      </w:r>
      <w:r>
        <w:rPr>
          <w:rFonts w:ascii="宋体" w:hAnsi="宋体" w:hint="eastAsia"/>
          <w:color w:val="000000"/>
          <w:sz w:val="24"/>
        </w:rPr>
        <w:t>楼</w:t>
      </w:r>
    </w:p>
    <w:p w14:paraId="25AB4176"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负责人：俞卫锋</w:t>
      </w:r>
    </w:p>
    <w:p w14:paraId="35FB001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电话：021-31358666</w:t>
      </w:r>
    </w:p>
    <w:p w14:paraId="793F635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传真：021-31358600</w:t>
      </w:r>
    </w:p>
    <w:p w14:paraId="0FD323E1" w14:textId="1AAAB683"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联系人：</w:t>
      </w:r>
      <w:r w:rsidR="00625BE6" w:rsidRPr="00597B1D">
        <w:rPr>
          <w:rFonts w:ascii="宋体" w:hAnsi="宋体" w:hint="eastAsia"/>
          <w:color w:val="000000"/>
          <w:sz w:val="24"/>
        </w:rPr>
        <w:t>安冬</w:t>
      </w:r>
    </w:p>
    <w:p w14:paraId="32141A6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经办律师：吕红、孙睿</w:t>
      </w:r>
    </w:p>
    <w:p w14:paraId="4846771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四、审计基金财产的会计师事务所</w:t>
      </w:r>
    </w:p>
    <w:p w14:paraId="5254006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名称：毕马威华振会计师事务所（特殊普通合伙）</w:t>
      </w:r>
    </w:p>
    <w:p w14:paraId="7BA14995"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住所：北京市东长安街1号东方广场东二办公楼八层</w:t>
      </w:r>
    </w:p>
    <w:p w14:paraId="7590E03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办公地址：上海南京西路1266号恒隆广场50 楼</w:t>
      </w:r>
    </w:p>
    <w:p w14:paraId="51F6D7B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法定代表人：邹俊</w:t>
      </w:r>
    </w:p>
    <w:p w14:paraId="05BEDF8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电话：021-22122888</w:t>
      </w:r>
    </w:p>
    <w:p w14:paraId="0690FEA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传真：021-62881889</w:t>
      </w:r>
    </w:p>
    <w:p w14:paraId="03871023" w14:textId="77777777" w:rsidR="00625BE6" w:rsidRPr="00597B1D" w:rsidRDefault="00625BE6" w:rsidP="00625BE6">
      <w:pPr>
        <w:snapToGrid w:val="0"/>
        <w:spacing w:line="360" w:lineRule="auto"/>
        <w:ind w:firstLineChars="200" w:firstLine="480"/>
        <w:rPr>
          <w:rFonts w:ascii="宋体" w:hAnsi="宋体"/>
          <w:color w:val="000000"/>
          <w:sz w:val="24"/>
        </w:rPr>
      </w:pPr>
      <w:r w:rsidRPr="00F277DD">
        <w:rPr>
          <w:rFonts w:ascii="宋体" w:hAnsi="宋体" w:hint="eastAsia"/>
          <w:color w:val="000000"/>
          <w:sz w:val="24"/>
        </w:rPr>
        <w:t>联系人：</w:t>
      </w:r>
      <w:r w:rsidRPr="00597B1D">
        <w:rPr>
          <w:rFonts w:ascii="宋体" w:hAnsi="宋体" w:hint="eastAsia"/>
          <w:color w:val="000000"/>
          <w:sz w:val="24"/>
        </w:rPr>
        <w:t>王国蓓</w:t>
      </w:r>
    </w:p>
    <w:p w14:paraId="07327A09" w14:textId="4EFD8BDA" w:rsidR="00DD2567" w:rsidRDefault="00625BE6">
      <w:pPr>
        <w:snapToGrid w:val="0"/>
        <w:spacing w:line="360" w:lineRule="auto"/>
        <w:ind w:firstLineChars="200" w:firstLine="480"/>
        <w:rPr>
          <w:rFonts w:ascii="宋体" w:hAnsi="宋体"/>
          <w:color w:val="000000"/>
          <w:sz w:val="24"/>
        </w:rPr>
      </w:pPr>
      <w:r w:rsidRPr="00597B1D">
        <w:rPr>
          <w:rFonts w:ascii="宋体" w:hAnsi="宋体" w:hint="eastAsia"/>
          <w:color w:val="000000"/>
          <w:sz w:val="24"/>
        </w:rPr>
        <w:t>经办注册会计师：</w:t>
      </w:r>
      <w:r>
        <w:rPr>
          <w:rFonts w:ascii="宋体" w:hAnsi="宋体" w:hint="eastAsia"/>
          <w:color w:val="000000"/>
          <w:sz w:val="24"/>
        </w:rPr>
        <w:t>黄超、</w:t>
      </w:r>
      <w:r w:rsidRPr="00597B1D">
        <w:rPr>
          <w:rFonts w:ascii="宋体" w:hAnsi="宋体" w:hint="eastAsia"/>
          <w:color w:val="000000"/>
          <w:sz w:val="24"/>
        </w:rPr>
        <w:t>王国蓓</w:t>
      </w:r>
    </w:p>
    <w:p w14:paraId="36806471" w14:textId="77777777" w:rsidR="00DD2567" w:rsidRDefault="00680E4C">
      <w:pPr>
        <w:pStyle w:val="1"/>
        <w:spacing w:before="0" w:after="0"/>
        <w:jc w:val="center"/>
        <w:rPr>
          <w:rFonts w:ascii="Times New Roman"/>
          <w:color w:val="auto"/>
          <w:sz w:val="30"/>
        </w:rPr>
      </w:pPr>
      <w:r>
        <w:rPr>
          <w:rFonts w:ascii="Times New Roman"/>
          <w:b w:val="0"/>
          <w:bCs/>
          <w:color w:val="auto"/>
          <w:kern w:val="44"/>
          <w:sz w:val="21"/>
        </w:rPr>
        <w:br w:type="page"/>
      </w:r>
      <w:bookmarkStart w:id="94" w:name="_Toc342469895"/>
      <w:bookmarkStart w:id="95" w:name="_Toc23261"/>
      <w:bookmarkStart w:id="96" w:name="_Toc123112234"/>
      <w:bookmarkStart w:id="97" w:name="_Toc1427"/>
      <w:bookmarkStart w:id="98" w:name="_Toc20733"/>
      <w:bookmarkStart w:id="99" w:name="_Toc1270"/>
      <w:bookmarkStart w:id="100" w:name="_Toc123102453"/>
      <w:bookmarkStart w:id="101" w:name="_Toc98560352"/>
      <w:bookmarkStart w:id="102" w:name="_Toc141703886"/>
      <w:bookmarkStart w:id="103" w:name="_Toc7920"/>
      <w:bookmarkStart w:id="104" w:name="_Toc610"/>
      <w:bookmarkStart w:id="105" w:name="_Toc123051452"/>
      <w:bookmarkStart w:id="106" w:name="_Toc48649707"/>
      <w:bookmarkStart w:id="107" w:name="_Toc23822"/>
      <w:bookmarkStart w:id="108" w:name="_Toc139991736"/>
      <w:bookmarkStart w:id="109" w:name="_Toc79392606"/>
      <w:bookmarkStart w:id="110" w:name="_Toc10463"/>
      <w:bookmarkStart w:id="111" w:name="_Toc17244"/>
      <w:bookmarkStart w:id="112" w:name="_Toc4003"/>
      <w:r>
        <w:rPr>
          <w:rFonts w:ascii="Times New Roman"/>
          <w:color w:val="auto"/>
          <w:sz w:val="30"/>
        </w:rPr>
        <w:lastRenderedPageBreak/>
        <w:t>第六部分</w:t>
      </w:r>
      <w:r w:rsidR="00625BE6">
        <w:rPr>
          <w:rFonts w:ascii="Times New Roman" w:hint="eastAsia"/>
          <w:color w:val="auto"/>
          <w:sz w:val="30"/>
        </w:rPr>
        <w:t xml:space="preserve"> </w:t>
      </w:r>
      <w:r>
        <w:rPr>
          <w:rFonts w:ascii="Times New Roman"/>
          <w:color w:val="auto"/>
          <w:sz w:val="30"/>
        </w:rPr>
        <w:t>基金</w:t>
      </w:r>
      <w:r>
        <w:rPr>
          <w:rFonts w:ascii="Times New Roman" w:hint="eastAsia"/>
          <w:color w:val="auto"/>
          <w:sz w:val="30"/>
        </w:rPr>
        <w:t>的募集</w:t>
      </w:r>
      <w:bookmarkEnd w:id="94"/>
    </w:p>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14:paraId="769A0D3A" w14:textId="77777777" w:rsidR="00625BE6" w:rsidRPr="00C6511B" w:rsidRDefault="00625BE6" w:rsidP="00625BE6">
      <w:pPr>
        <w:spacing w:line="360" w:lineRule="auto"/>
        <w:ind w:firstLineChars="200" w:firstLine="480"/>
        <w:rPr>
          <w:rFonts w:ascii="宋体" w:hAnsi="宋体"/>
          <w:sz w:val="24"/>
          <w:szCs w:val="24"/>
        </w:rPr>
      </w:pPr>
      <w:r w:rsidRPr="00C6511B">
        <w:rPr>
          <w:rFonts w:ascii="宋体" w:hAnsi="宋体" w:hint="eastAsia"/>
          <w:sz w:val="24"/>
          <w:szCs w:val="24"/>
        </w:rPr>
        <w:t>本基金的募集申请经中国证监会证监许可【</w:t>
      </w:r>
      <w:r w:rsidRPr="00C6511B">
        <w:rPr>
          <w:rFonts w:ascii="宋体" w:hAnsi="宋体"/>
          <w:sz w:val="24"/>
          <w:szCs w:val="24"/>
        </w:rPr>
        <w:t>20</w:t>
      </w:r>
      <w:r>
        <w:rPr>
          <w:rFonts w:ascii="宋体" w:hAnsi="宋体"/>
          <w:sz w:val="24"/>
          <w:szCs w:val="24"/>
        </w:rPr>
        <w:t>15</w:t>
      </w:r>
      <w:r w:rsidRPr="00C6511B">
        <w:rPr>
          <w:rFonts w:ascii="宋体" w:hAnsi="宋体"/>
          <w:sz w:val="24"/>
          <w:szCs w:val="24"/>
        </w:rPr>
        <w:t>】</w:t>
      </w:r>
      <w:r>
        <w:rPr>
          <w:rFonts w:ascii="宋体" w:hAnsi="宋体"/>
          <w:sz w:val="24"/>
          <w:szCs w:val="24"/>
        </w:rPr>
        <w:t>1578</w:t>
      </w:r>
      <w:r w:rsidRPr="00C6511B">
        <w:rPr>
          <w:rFonts w:ascii="宋体" w:hAnsi="宋体" w:hint="eastAsia"/>
          <w:sz w:val="24"/>
          <w:szCs w:val="24"/>
        </w:rPr>
        <w:t>号文核准，募集期自</w:t>
      </w:r>
      <w:r w:rsidRPr="00C6511B">
        <w:rPr>
          <w:rFonts w:ascii="宋体" w:hAnsi="宋体"/>
          <w:sz w:val="24"/>
          <w:szCs w:val="24"/>
        </w:rPr>
        <w:t>201</w:t>
      </w:r>
      <w:r>
        <w:rPr>
          <w:rFonts w:ascii="宋体" w:hAnsi="宋体"/>
          <w:sz w:val="24"/>
          <w:szCs w:val="24"/>
        </w:rPr>
        <w:t>6</w:t>
      </w:r>
      <w:r w:rsidRPr="00C6511B">
        <w:rPr>
          <w:rFonts w:ascii="宋体" w:hAnsi="宋体" w:hint="eastAsia"/>
          <w:sz w:val="24"/>
          <w:szCs w:val="24"/>
        </w:rPr>
        <w:t>年</w:t>
      </w:r>
      <w:r>
        <w:rPr>
          <w:rFonts w:ascii="宋体" w:hAnsi="宋体" w:hint="eastAsia"/>
          <w:sz w:val="24"/>
          <w:szCs w:val="24"/>
        </w:rPr>
        <w:t>4</w:t>
      </w:r>
      <w:r w:rsidRPr="00C6511B">
        <w:rPr>
          <w:rFonts w:ascii="宋体" w:hAnsi="宋体" w:hint="eastAsia"/>
          <w:sz w:val="24"/>
          <w:szCs w:val="24"/>
        </w:rPr>
        <w:t>月</w:t>
      </w:r>
      <w:r>
        <w:rPr>
          <w:rFonts w:ascii="宋体" w:hAnsi="宋体" w:hint="eastAsia"/>
          <w:sz w:val="24"/>
          <w:szCs w:val="24"/>
        </w:rPr>
        <w:t>26</w:t>
      </w:r>
      <w:r w:rsidRPr="00C6511B">
        <w:rPr>
          <w:rFonts w:ascii="宋体" w:hAnsi="宋体"/>
          <w:sz w:val="24"/>
          <w:szCs w:val="24"/>
        </w:rPr>
        <w:t>日起至20</w:t>
      </w:r>
      <w:r>
        <w:rPr>
          <w:rFonts w:ascii="宋体" w:hAnsi="宋体"/>
          <w:sz w:val="24"/>
          <w:szCs w:val="24"/>
        </w:rPr>
        <w:t>16</w:t>
      </w:r>
      <w:r w:rsidRPr="00C6511B">
        <w:rPr>
          <w:rFonts w:ascii="宋体" w:hAnsi="宋体" w:hint="eastAsia"/>
          <w:sz w:val="24"/>
          <w:szCs w:val="24"/>
        </w:rPr>
        <w:t>年</w:t>
      </w:r>
      <w:r>
        <w:rPr>
          <w:rFonts w:ascii="宋体" w:hAnsi="宋体" w:hint="eastAsia"/>
          <w:sz w:val="24"/>
          <w:szCs w:val="24"/>
        </w:rPr>
        <w:t>5</w:t>
      </w:r>
      <w:r w:rsidRPr="00C6511B">
        <w:rPr>
          <w:rFonts w:ascii="宋体" w:hAnsi="宋体" w:hint="eastAsia"/>
          <w:sz w:val="24"/>
          <w:szCs w:val="24"/>
        </w:rPr>
        <w:t>月</w:t>
      </w:r>
      <w:r>
        <w:rPr>
          <w:rFonts w:ascii="宋体" w:hAnsi="宋体" w:hint="eastAsia"/>
          <w:sz w:val="24"/>
          <w:szCs w:val="24"/>
        </w:rPr>
        <w:t>6</w:t>
      </w:r>
      <w:r w:rsidRPr="00C6511B">
        <w:rPr>
          <w:rFonts w:ascii="宋体" w:hAnsi="宋体" w:hint="eastAsia"/>
          <w:sz w:val="24"/>
          <w:szCs w:val="24"/>
        </w:rPr>
        <w:t>日止。募集期内，本基金的有效认购份额为</w:t>
      </w:r>
      <w:r>
        <w:rPr>
          <w:rFonts w:ascii="宋体" w:hAnsi="宋体" w:hint="eastAsia"/>
          <w:sz w:val="24"/>
          <w:szCs w:val="24"/>
        </w:rPr>
        <w:t>200,602</w:t>
      </w:r>
      <w:r>
        <w:rPr>
          <w:rFonts w:ascii="宋体" w:hAnsi="宋体"/>
          <w:sz w:val="24"/>
          <w:szCs w:val="24"/>
        </w:rPr>
        <w:t>,493.</w:t>
      </w:r>
      <w:r>
        <w:rPr>
          <w:rFonts w:ascii="宋体" w:hAnsi="宋体" w:hint="eastAsia"/>
          <w:sz w:val="24"/>
          <w:szCs w:val="24"/>
        </w:rPr>
        <w:t>96</w:t>
      </w:r>
      <w:r w:rsidRPr="00C6511B">
        <w:rPr>
          <w:rFonts w:ascii="宋体" w:hAnsi="宋体" w:hint="eastAsia"/>
          <w:sz w:val="24"/>
          <w:szCs w:val="24"/>
        </w:rPr>
        <w:t>份，利息结转的基金份额为</w:t>
      </w:r>
      <w:r>
        <w:rPr>
          <w:rFonts w:ascii="宋体" w:hAnsi="宋体"/>
          <w:sz w:val="24"/>
          <w:szCs w:val="24"/>
        </w:rPr>
        <w:t>57</w:t>
      </w:r>
      <w:r>
        <w:rPr>
          <w:rFonts w:ascii="宋体" w:hAnsi="宋体" w:hint="eastAsia"/>
          <w:sz w:val="24"/>
          <w:szCs w:val="24"/>
        </w:rPr>
        <w:t>.09</w:t>
      </w:r>
      <w:r w:rsidRPr="00C6511B">
        <w:rPr>
          <w:rFonts w:ascii="宋体" w:hAnsi="宋体" w:hint="eastAsia"/>
          <w:sz w:val="24"/>
          <w:szCs w:val="24"/>
        </w:rPr>
        <w:t>份，两项合计共</w:t>
      </w:r>
      <w:r>
        <w:rPr>
          <w:rFonts w:ascii="宋体" w:hAnsi="宋体"/>
          <w:sz w:val="24"/>
          <w:szCs w:val="24"/>
        </w:rPr>
        <w:t>200</w:t>
      </w:r>
      <w:r>
        <w:rPr>
          <w:rFonts w:ascii="宋体" w:hAnsi="宋体" w:hint="eastAsia"/>
          <w:sz w:val="24"/>
          <w:szCs w:val="24"/>
        </w:rPr>
        <w:t>,602,551.05</w:t>
      </w:r>
      <w:r w:rsidRPr="00C6511B">
        <w:rPr>
          <w:rFonts w:ascii="宋体" w:hAnsi="宋体" w:hint="eastAsia"/>
          <w:sz w:val="24"/>
          <w:szCs w:val="24"/>
        </w:rPr>
        <w:t>份基金份额。</w:t>
      </w:r>
    </w:p>
    <w:p w14:paraId="0EFA6388" w14:textId="77777777" w:rsidR="00625BE6" w:rsidRDefault="00625BE6">
      <w:pPr>
        <w:widowControl/>
        <w:jc w:val="left"/>
        <w:rPr>
          <w:bCs/>
          <w:sz w:val="24"/>
        </w:rPr>
      </w:pPr>
      <w:r>
        <w:rPr>
          <w:bCs/>
          <w:sz w:val="24"/>
        </w:rPr>
        <w:br w:type="page"/>
      </w:r>
    </w:p>
    <w:p w14:paraId="36C91CD1" w14:textId="77777777" w:rsidR="00DD2567" w:rsidRPr="00690813" w:rsidRDefault="00DD2567">
      <w:pPr>
        <w:spacing w:line="360" w:lineRule="auto"/>
        <w:ind w:firstLine="540"/>
        <w:rPr>
          <w:bCs/>
          <w:sz w:val="24"/>
        </w:rPr>
      </w:pPr>
    </w:p>
    <w:p w14:paraId="661EFC78" w14:textId="0C4CBC1C" w:rsidR="00DD2567" w:rsidRDefault="00680E4C" w:rsidP="00725F28">
      <w:pPr>
        <w:pStyle w:val="1"/>
        <w:spacing w:before="0" w:after="0"/>
        <w:jc w:val="center"/>
        <w:rPr>
          <w:rFonts w:ascii="Times New Roman"/>
          <w:color w:val="auto"/>
          <w:sz w:val="30"/>
        </w:rPr>
      </w:pPr>
      <w:bookmarkStart w:id="113" w:name="_Toc3601"/>
      <w:bookmarkStart w:id="114" w:name="_Toc15143"/>
      <w:bookmarkStart w:id="115" w:name="_Toc29251"/>
      <w:bookmarkStart w:id="116" w:name="_Toc31653"/>
      <w:bookmarkStart w:id="117" w:name="_Toc31235"/>
      <w:bookmarkStart w:id="118" w:name="_Toc12245"/>
      <w:bookmarkStart w:id="119" w:name="_Toc26207"/>
      <w:bookmarkStart w:id="120" w:name="_Toc98560353"/>
      <w:bookmarkStart w:id="121" w:name="_Toc123102454"/>
      <w:bookmarkStart w:id="122" w:name="_Toc139991737"/>
      <w:bookmarkStart w:id="123" w:name="_Toc123051453"/>
      <w:bookmarkStart w:id="124" w:name="_Toc6405"/>
      <w:bookmarkStart w:id="125" w:name="_Toc14835"/>
      <w:bookmarkStart w:id="126" w:name="_Toc141703887"/>
      <w:bookmarkStart w:id="127" w:name="_Toc31644"/>
      <w:bookmarkStart w:id="128" w:name="_Toc123112235"/>
      <w:bookmarkStart w:id="129" w:name="_Toc342469896"/>
      <w:r>
        <w:rPr>
          <w:rFonts w:ascii="Times New Roman"/>
          <w:color w:val="auto"/>
          <w:sz w:val="30"/>
        </w:rPr>
        <w:t>第七部分</w:t>
      </w:r>
      <w:r w:rsidR="00625BE6">
        <w:rPr>
          <w:rFonts w:ascii="Times New Roman" w:hint="eastAsia"/>
          <w:color w:val="auto"/>
          <w:sz w:val="30"/>
        </w:rPr>
        <w:t xml:space="preserve"> </w:t>
      </w:r>
      <w:r>
        <w:rPr>
          <w:rFonts w:ascii="Times New Roman"/>
          <w:color w:val="auto"/>
          <w:sz w:val="30"/>
        </w:rPr>
        <w:t>基金合同</w:t>
      </w:r>
      <w:r>
        <w:rPr>
          <w:rFonts w:ascii="Times New Roman" w:hint="eastAsia"/>
          <w:color w:val="auto"/>
          <w:sz w:val="30"/>
        </w:rPr>
        <w:t>的生效</w:t>
      </w:r>
      <w:bookmarkStart w:id="130" w:name="_Toc98560354"/>
      <w:bookmarkStart w:id="131" w:name="_Toc25783"/>
      <w:bookmarkStart w:id="132" w:name="_Toc6447"/>
      <w:bookmarkStart w:id="133" w:name="_Toc123051454"/>
      <w:bookmarkStart w:id="134" w:name="_Toc3321"/>
      <w:bookmarkStart w:id="135" w:name="_Toc123112236"/>
      <w:bookmarkStart w:id="136" w:name="_Toc4559"/>
      <w:bookmarkStart w:id="137" w:name="_Toc139991738"/>
      <w:bookmarkStart w:id="138" w:name="_Toc9706"/>
      <w:bookmarkStart w:id="139" w:name="_Toc7058"/>
      <w:bookmarkStart w:id="140" w:name="_Toc10650"/>
      <w:bookmarkStart w:id="141" w:name="_Toc3771"/>
      <w:bookmarkStart w:id="142" w:name="_Toc11030"/>
      <w:bookmarkStart w:id="143" w:name="_Toc141703888"/>
      <w:bookmarkStart w:id="144" w:name="_Toc79392583"/>
      <w:bookmarkStart w:id="145" w:name="_Toc18567"/>
      <w:bookmarkStart w:id="146" w:name="_Toc123102455"/>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4DC87FDA" w14:textId="77777777" w:rsidR="00DD2567" w:rsidRDefault="00DD2567">
      <w:pPr>
        <w:snapToGrid w:val="0"/>
        <w:spacing w:line="360" w:lineRule="auto"/>
        <w:ind w:firstLineChars="200" w:firstLine="480"/>
        <w:rPr>
          <w:rFonts w:ascii="宋体" w:hAnsi="宋体"/>
          <w:color w:val="000000"/>
          <w:sz w:val="24"/>
        </w:rPr>
      </w:pPr>
      <w:bookmarkStart w:id="147" w:name="OLE_LINK26"/>
    </w:p>
    <w:p w14:paraId="1FDDBC7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一、基金备案的条件</w:t>
      </w:r>
      <w:bookmarkEnd w:id="147"/>
    </w:p>
    <w:p w14:paraId="1894EFA3"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1、自本基金基金份额发售之日起3个月内，在</w:t>
      </w:r>
      <w:r>
        <w:rPr>
          <w:rFonts w:ascii="宋体" w:hAnsi="宋体"/>
          <w:color w:val="000000"/>
          <w:sz w:val="24"/>
        </w:rPr>
        <w:t>基金募集份额总额不少于</w:t>
      </w:r>
      <w:r>
        <w:rPr>
          <w:rFonts w:ascii="宋体" w:hAnsi="宋体" w:hint="eastAsia"/>
          <w:color w:val="000000"/>
          <w:sz w:val="24"/>
        </w:rPr>
        <w:t>2</w:t>
      </w:r>
      <w:r>
        <w:rPr>
          <w:rFonts w:ascii="宋体" w:hAnsi="宋体"/>
          <w:color w:val="000000"/>
          <w:sz w:val="24"/>
        </w:rPr>
        <w:t>亿份，基金募集金额不少于</w:t>
      </w:r>
      <w:r>
        <w:rPr>
          <w:rFonts w:ascii="宋体" w:hAnsi="宋体" w:hint="eastAsia"/>
          <w:color w:val="000000"/>
          <w:sz w:val="24"/>
        </w:rPr>
        <w:t>2</w:t>
      </w:r>
      <w:r>
        <w:rPr>
          <w:rFonts w:ascii="宋体" w:hAnsi="宋体"/>
          <w:color w:val="000000"/>
          <w:sz w:val="24"/>
        </w:rPr>
        <w:t>亿元</w:t>
      </w:r>
      <w:r>
        <w:rPr>
          <w:rFonts w:ascii="宋体" w:hAnsi="宋体" w:hint="eastAsia"/>
          <w:color w:val="000000"/>
          <w:sz w:val="24"/>
        </w:rPr>
        <w:t>人民币，并且</w:t>
      </w:r>
      <w:r>
        <w:rPr>
          <w:rFonts w:ascii="宋体" w:hAnsi="宋体"/>
          <w:color w:val="000000"/>
          <w:sz w:val="24"/>
        </w:rPr>
        <w:t>基金</w:t>
      </w:r>
      <w:r>
        <w:rPr>
          <w:rFonts w:ascii="宋体" w:hAnsi="宋体" w:hint="eastAsia"/>
          <w:color w:val="000000"/>
          <w:sz w:val="24"/>
        </w:rPr>
        <w:t>认购</w:t>
      </w:r>
      <w:r>
        <w:rPr>
          <w:rFonts w:ascii="宋体" w:hAnsi="宋体"/>
          <w:color w:val="000000"/>
          <w:sz w:val="24"/>
        </w:rPr>
        <w:t>人数不少于</w:t>
      </w:r>
      <w:r>
        <w:rPr>
          <w:rFonts w:ascii="宋体" w:hAnsi="宋体" w:hint="eastAsia"/>
          <w:color w:val="000000"/>
          <w:sz w:val="24"/>
        </w:rPr>
        <w:t>200</w:t>
      </w:r>
      <w:r>
        <w:rPr>
          <w:rFonts w:ascii="宋体" w:hAnsi="宋体"/>
          <w:color w:val="000000"/>
          <w:sz w:val="24"/>
        </w:rPr>
        <w:t>人的条件</w:t>
      </w:r>
      <w:r>
        <w:rPr>
          <w:rFonts w:ascii="宋体" w:hAnsi="宋体" w:hint="eastAsia"/>
          <w:color w:val="000000"/>
          <w:sz w:val="24"/>
        </w:rPr>
        <w:t>下</w:t>
      </w:r>
      <w:r>
        <w:rPr>
          <w:rFonts w:ascii="宋体" w:hAnsi="宋体"/>
          <w:color w:val="000000"/>
          <w:sz w:val="24"/>
        </w:rPr>
        <w:t>，</w:t>
      </w:r>
      <w:r>
        <w:rPr>
          <w:rFonts w:ascii="宋体" w:hAnsi="宋体" w:hint="eastAsia"/>
          <w:color w:val="000000"/>
          <w:sz w:val="24"/>
        </w:rPr>
        <w:t>基金募集期届满或基金管理人依据法律法规及招募说明书可以决定停止基金发售，并在10</w:t>
      </w:r>
      <w:r>
        <w:rPr>
          <w:rFonts w:ascii="宋体" w:hAnsi="宋体"/>
          <w:color w:val="000000"/>
          <w:sz w:val="24"/>
        </w:rPr>
        <w:t>日内聘请法定验资机构验资，自收到验资报告之日起</w:t>
      </w:r>
      <w:r>
        <w:rPr>
          <w:rFonts w:ascii="宋体" w:hAnsi="宋体" w:hint="eastAsia"/>
          <w:color w:val="000000"/>
          <w:sz w:val="24"/>
        </w:rPr>
        <w:t>10</w:t>
      </w:r>
      <w:r>
        <w:rPr>
          <w:rFonts w:ascii="宋体" w:hAnsi="宋体"/>
          <w:color w:val="000000"/>
          <w:sz w:val="24"/>
        </w:rPr>
        <w:t>日内，</w:t>
      </w:r>
      <w:r>
        <w:rPr>
          <w:rFonts w:ascii="宋体" w:hAnsi="宋体" w:hint="eastAsia"/>
          <w:color w:val="000000"/>
          <w:sz w:val="24"/>
        </w:rPr>
        <w:t>向中国证监会</w:t>
      </w:r>
      <w:r>
        <w:rPr>
          <w:rFonts w:ascii="宋体" w:hAnsi="宋体"/>
          <w:color w:val="000000"/>
          <w:sz w:val="24"/>
        </w:rPr>
        <w:t>办理基金备案手续</w:t>
      </w:r>
      <w:r>
        <w:rPr>
          <w:rFonts w:ascii="宋体" w:hAnsi="宋体" w:hint="eastAsia"/>
          <w:color w:val="000000"/>
          <w:sz w:val="24"/>
        </w:rPr>
        <w:t>。</w:t>
      </w:r>
      <w:r>
        <w:rPr>
          <w:rFonts w:ascii="宋体" w:hAnsi="宋体" w:hint="eastAsia"/>
          <w:bCs/>
          <w:sz w:val="24"/>
        </w:rPr>
        <w:t>基金募集达到基金备案条件的，</w:t>
      </w:r>
      <w:r>
        <w:rPr>
          <w:rFonts w:ascii="宋体" w:hAnsi="宋体"/>
          <w:bCs/>
          <w:sz w:val="24"/>
        </w:rPr>
        <w:t>自基金管理人办理完毕基金备案手续并取得中国证监会书面确认之日起，</w:t>
      </w:r>
      <w:r>
        <w:rPr>
          <w:rFonts w:ascii="宋体" w:hAnsi="宋体" w:hint="eastAsia"/>
          <w:color w:val="000000"/>
          <w:sz w:val="24"/>
        </w:rPr>
        <w:t>基金合同生效</w:t>
      </w:r>
      <w:r>
        <w:rPr>
          <w:rFonts w:ascii="宋体" w:hAnsi="宋体" w:hint="eastAsia"/>
          <w:bCs/>
          <w:sz w:val="24"/>
        </w:rPr>
        <w:t>；否则《基金合同》不生效。</w:t>
      </w:r>
    </w:p>
    <w:p w14:paraId="24BA0D1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w:t>
      </w:r>
      <w:r>
        <w:rPr>
          <w:rFonts w:ascii="宋体" w:hAnsi="宋体"/>
          <w:color w:val="000000"/>
          <w:sz w:val="24"/>
        </w:rPr>
        <w:t>基金管理人在收到中国证监会确认文件的次日</w:t>
      </w:r>
      <w:r>
        <w:rPr>
          <w:rFonts w:ascii="宋体" w:hAnsi="宋体" w:hint="eastAsia"/>
          <w:color w:val="000000"/>
          <w:sz w:val="24"/>
        </w:rPr>
        <w:t>对基金合同生效事宜在指定媒介</w:t>
      </w:r>
      <w:r>
        <w:rPr>
          <w:rFonts w:ascii="宋体" w:hAnsi="宋体"/>
          <w:color w:val="000000"/>
          <w:sz w:val="24"/>
        </w:rPr>
        <w:t>予以公告</w:t>
      </w:r>
      <w:r>
        <w:rPr>
          <w:rFonts w:ascii="宋体" w:hAnsi="宋体" w:hint="eastAsia"/>
          <w:color w:val="000000"/>
          <w:sz w:val="24"/>
        </w:rPr>
        <w:t>。</w:t>
      </w:r>
    </w:p>
    <w:p w14:paraId="10951322" w14:textId="77777777" w:rsidR="00DD2567" w:rsidRDefault="00680E4C">
      <w:pPr>
        <w:snapToGrid w:val="0"/>
        <w:spacing w:line="360" w:lineRule="auto"/>
        <w:ind w:firstLineChars="200" w:firstLine="480"/>
        <w:rPr>
          <w:rFonts w:ascii="宋体" w:hAnsi="宋体"/>
          <w:sz w:val="24"/>
        </w:rPr>
      </w:pPr>
      <w:r>
        <w:rPr>
          <w:rFonts w:ascii="宋体" w:hAnsi="宋体" w:hint="eastAsia"/>
          <w:color w:val="000000"/>
          <w:sz w:val="24"/>
        </w:rPr>
        <w:t>3、本</w:t>
      </w:r>
      <w:r>
        <w:rPr>
          <w:rFonts w:ascii="宋体" w:hAnsi="宋体"/>
          <w:color w:val="000000"/>
          <w:sz w:val="24"/>
        </w:rPr>
        <w:t>基金</w:t>
      </w:r>
      <w:r>
        <w:rPr>
          <w:rFonts w:ascii="宋体" w:hAnsi="宋体" w:hint="eastAsia"/>
          <w:color w:val="000000"/>
          <w:sz w:val="24"/>
        </w:rPr>
        <w:t>募集期届满之日</w:t>
      </w:r>
      <w:r>
        <w:rPr>
          <w:rFonts w:ascii="宋体" w:hAnsi="宋体"/>
          <w:color w:val="000000"/>
          <w:sz w:val="24"/>
        </w:rPr>
        <w:t>前，基金投资者的认购款项只能存入</w:t>
      </w:r>
      <w:r>
        <w:rPr>
          <w:rFonts w:ascii="宋体" w:hAnsi="宋体" w:hint="eastAsia"/>
          <w:color w:val="000000"/>
          <w:sz w:val="24"/>
        </w:rPr>
        <w:t>专门账户</w:t>
      </w:r>
      <w:r>
        <w:rPr>
          <w:rFonts w:ascii="宋体" w:hAnsi="宋体"/>
          <w:color w:val="000000"/>
          <w:sz w:val="24"/>
        </w:rPr>
        <w:t>，任何人不得动用。</w:t>
      </w:r>
      <w:r>
        <w:rPr>
          <w:rFonts w:ascii="宋体" w:hAnsi="宋体" w:hint="eastAsia"/>
          <w:color w:val="000000"/>
          <w:sz w:val="24"/>
        </w:rPr>
        <w:t>有效认购款项</w:t>
      </w:r>
      <w:r>
        <w:rPr>
          <w:rFonts w:ascii="宋体" w:hAnsi="宋体"/>
          <w:color w:val="000000"/>
          <w:sz w:val="24"/>
        </w:rPr>
        <w:t>在</w:t>
      </w:r>
      <w:r>
        <w:rPr>
          <w:rFonts w:ascii="宋体" w:hAnsi="宋体" w:hint="eastAsia"/>
          <w:color w:val="000000"/>
          <w:sz w:val="24"/>
        </w:rPr>
        <w:t>基金</w:t>
      </w:r>
      <w:r>
        <w:rPr>
          <w:rFonts w:ascii="宋体" w:hAnsi="宋体"/>
          <w:color w:val="000000"/>
          <w:sz w:val="24"/>
        </w:rPr>
        <w:t>募集期形成的利息在基金合同生效后折成基金份额，归基金</w:t>
      </w:r>
      <w:r>
        <w:rPr>
          <w:rFonts w:ascii="宋体" w:hAnsi="宋体" w:hint="eastAsia"/>
          <w:color w:val="000000"/>
          <w:sz w:val="24"/>
        </w:rPr>
        <w:t>份额持有人</w:t>
      </w:r>
      <w:r>
        <w:rPr>
          <w:rFonts w:ascii="宋体" w:hAnsi="宋体"/>
          <w:color w:val="000000"/>
          <w:sz w:val="24"/>
        </w:rPr>
        <w:t>所有</w:t>
      </w:r>
      <w:r>
        <w:rPr>
          <w:rFonts w:ascii="宋体" w:hAnsi="宋体"/>
          <w:bCs/>
          <w:sz w:val="24"/>
        </w:rPr>
        <w:t>，其中利息转份额以登记机构的记录为准</w:t>
      </w:r>
      <w:r>
        <w:rPr>
          <w:rFonts w:ascii="宋体" w:hAnsi="宋体"/>
          <w:sz w:val="24"/>
        </w:rPr>
        <w:t>。</w:t>
      </w:r>
    </w:p>
    <w:p w14:paraId="420BC8C8" w14:textId="77777777" w:rsidR="00DD2567" w:rsidRDefault="00680E4C">
      <w:pPr>
        <w:snapToGrid w:val="0"/>
        <w:spacing w:line="360" w:lineRule="auto"/>
        <w:ind w:firstLineChars="200" w:firstLine="480"/>
        <w:rPr>
          <w:rFonts w:ascii="宋体" w:hAnsi="宋体"/>
          <w:color w:val="000000"/>
          <w:sz w:val="24"/>
        </w:rPr>
      </w:pPr>
      <w:bookmarkStart w:id="148" w:name="OLE_LINK27"/>
      <w:r>
        <w:rPr>
          <w:rFonts w:ascii="宋体" w:hAnsi="宋体" w:hint="eastAsia"/>
          <w:color w:val="000000"/>
          <w:sz w:val="24"/>
        </w:rPr>
        <w:t>二、</w:t>
      </w:r>
      <w:r>
        <w:rPr>
          <w:rFonts w:ascii="宋体" w:hAnsi="宋体"/>
          <w:color w:val="000000"/>
          <w:sz w:val="24"/>
        </w:rPr>
        <w:t>基金募集失败</w:t>
      </w:r>
      <w:bookmarkEnd w:id="148"/>
    </w:p>
    <w:p w14:paraId="59227ACB"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w:t>
      </w:r>
      <w:r>
        <w:rPr>
          <w:rFonts w:ascii="宋体" w:hAnsi="宋体"/>
          <w:color w:val="000000"/>
          <w:sz w:val="24"/>
        </w:rPr>
        <w:t>基金募集期届满，未</w:t>
      </w:r>
      <w:r>
        <w:rPr>
          <w:rFonts w:ascii="宋体" w:hAnsi="宋体" w:hint="eastAsia"/>
          <w:color w:val="000000"/>
          <w:sz w:val="24"/>
        </w:rPr>
        <w:t>满足</w:t>
      </w:r>
      <w:r>
        <w:rPr>
          <w:rFonts w:ascii="宋体" w:hAnsi="宋体"/>
          <w:color w:val="000000"/>
          <w:sz w:val="24"/>
        </w:rPr>
        <w:t>基金</w:t>
      </w:r>
      <w:r>
        <w:rPr>
          <w:rFonts w:ascii="宋体" w:hAnsi="宋体" w:hint="eastAsia"/>
          <w:color w:val="000000"/>
          <w:sz w:val="24"/>
        </w:rPr>
        <w:t>备案</w:t>
      </w:r>
      <w:r>
        <w:rPr>
          <w:rFonts w:ascii="宋体" w:hAnsi="宋体"/>
          <w:color w:val="000000"/>
          <w:sz w:val="24"/>
        </w:rPr>
        <w:t>条件</w:t>
      </w:r>
      <w:r>
        <w:rPr>
          <w:rFonts w:ascii="宋体" w:hAnsi="宋体" w:hint="eastAsia"/>
          <w:color w:val="000000"/>
          <w:sz w:val="24"/>
        </w:rPr>
        <w:t>，或因不可抗力使基金合同无法生效，</w:t>
      </w:r>
      <w:r>
        <w:rPr>
          <w:rFonts w:ascii="宋体" w:hAnsi="宋体"/>
          <w:color w:val="000000"/>
          <w:sz w:val="24"/>
        </w:rPr>
        <w:t>则基金募集失败</w:t>
      </w:r>
      <w:r>
        <w:rPr>
          <w:rFonts w:ascii="宋体" w:hAnsi="宋体" w:hint="eastAsia"/>
          <w:color w:val="000000"/>
          <w:sz w:val="24"/>
        </w:rPr>
        <w:t>。</w:t>
      </w:r>
    </w:p>
    <w:p w14:paraId="1ACDAB4B"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w:t>
      </w:r>
      <w:r>
        <w:rPr>
          <w:rFonts w:ascii="宋体" w:hAnsi="宋体"/>
          <w:color w:val="000000"/>
          <w:sz w:val="24"/>
        </w:rPr>
        <w:t>如基金募集失败，基金管理人应以其固有财产承担因募集行为而产生的债务和费用，在基金募集</w:t>
      </w:r>
      <w:r>
        <w:rPr>
          <w:rFonts w:ascii="宋体" w:hAnsi="宋体" w:hint="eastAsia"/>
          <w:color w:val="000000"/>
          <w:sz w:val="24"/>
        </w:rPr>
        <w:t>期限</w:t>
      </w:r>
      <w:r>
        <w:rPr>
          <w:rFonts w:ascii="宋体" w:hAnsi="宋体"/>
          <w:color w:val="000000"/>
          <w:sz w:val="24"/>
        </w:rPr>
        <w:t>届满后30日内返还基金投资者已缴纳的款项，并加计银行</w:t>
      </w:r>
      <w:r>
        <w:rPr>
          <w:rFonts w:ascii="宋体" w:hAnsi="宋体" w:hint="eastAsia"/>
          <w:color w:val="000000"/>
          <w:sz w:val="24"/>
        </w:rPr>
        <w:t>同期活期</w:t>
      </w:r>
      <w:r>
        <w:rPr>
          <w:rFonts w:ascii="宋体" w:hAnsi="宋体"/>
          <w:color w:val="000000"/>
          <w:sz w:val="24"/>
        </w:rPr>
        <w:t>存款利息</w:t>
      </w:r>
      <w:r>
        <w:rPr>
          <w:rFonts w:ascii="宋体" w:hAnsi="宋体" w:hint="eastAsia"/>
          <w:color w:val="000000"/>
          <w:sz w:val="24"/>
        </w:rPr>
        <w:t>。</w:t>
      </w:r>
    </w:p>
    <w:p w14:paraId="5F312526"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3、</w:t>
      </w:r>
      <w:r>
        <w:rPr>
          <w:rFonts w:ascii="宋体" w:hAnsi="宋体"/>
          <w:color w:val="000000"/>
          <w:sz w:val="24"/>
        </w:rPr>
        <w:t>如基金募集失败，</w:t>
      </w:r>
      <w:r>
        <w:rPr>
          <w:rFonts w:ascii="宋体" w:hAnsi="宋体" w:hint="eastAsia"/>
          <w:color w:val="000000"/>
          <w:sz w:val="24"/>
        </w:rPr>
        <w:t>基金管理人、基金托管人及销售机构不得请求报酬。基金管理人、基金托管人和销售机构为基金募集支付之一切费用应由各方各自承担。</w:t>
      </w:r>
    </w:p>
    <w:p w14:paraId="7B6B18E3" w14:textId="77777777" w:rsidR="00DD2567" w:rsidRDefault="00680E4C">
      <w:pPr>
        <w:snapToGrid w:val="0"/>
        <w:spacing w:line="360" w:lineRule="auto"/>
        <w:ind w:firstLineChars="200" w:firstLine="480"/>
        <w:rPr>
          <w:rFonts w:ascii="宋体" w:hAnsi="宋体"/>
          <w:color w:val="000000"/>
          <w:sz w:val="24"/>
        </w:rPr>
      </w:pPr>
      <w:bookmarkStart w:id="149" w:name="OLE_LINK28"/>
      <w:r>
        <w:rPr>
          <w:rFonts w:ascii="宋体" w:hAnsi="宋体" w:hint="eastAsia"/>
          <w:color w:val="000000"/>
          <w:sz w:val="24"/>
        </w:rPr>
        <w:t>三、</w:t>
      </w:r>
      <w:r>
        <w:rPr>
          <w:rFonts w:ascii="宋体" w:hAnsi="宋体"/>
          <w:color w:val="000000"/>
          <w:sz w:val="24"/>
        </w:rPr>
        <w:t>基金存续期内的基金份额持有人数量和</w:t>
      </w:r>
      <w:r>
        <w:rPr>
          <w:rFonts w:ascii="宋体" w:hAnsi="宋体" w:hint="eastAsia"/>
          <w:color w:val="000000"/>
          <w:sz w:val="24"/>
        </w:rPr>
        <w:t>资产规模</w:t>
      </w:r>
      <w:bookmarkEnd w:id="149"/>
    </w:p>
    <w:p w14:paraId="56A6C6DB" w14:textId="77777777" w:rsidR="00DD2567" w:rsidRDefault="00680E4C">
      <w:pPr>
        <w:spacing w:line="360" w:lineRule="auto"/>
        <w:ind w:firstLineChars="200" w:firstLine="480"/>
        <w:rPr>
          <w:rFonts w:ascii="宋体" w:hAnsi="宋体"/>
          <w:sz w:val="24"/>
        </w:rPr>
      </w:pPr>
      <w:r>
        <w:rPr>
          <w:rFonts w:ascii="宋体" w:hAnsi="宋体" w:hint="eastAsia"/>
          <w:color w:val="000000"/>
          <w:sz w:val="24"/>
        </w:rPr>
        <w:t>基金合同生效后的存续期内，</w:t>
      </w:r>
      <w:r>
        <w:rPr>
          <w:rFonts w:ascii="宋体" w:hAnsi="宋体" w:hint="eastAsia"/>
          <w:bCs/>
          <w:sz w:val="24"/>
        </w:rPr>
        <w:t>连续</w:t>
      </w:r>
      <w:r>
        <w:rPr>
          <w:rFonts w:ascii="宋体" w:hAnsi="宋体"/>
          <w:bCs/>
          <w:sz w:val="24"/>
        </w:rPr>
        <w:t>二十个工作日</w:t>
      </w:r>
      <w:r>
        <w:rPr>
          <w:rFonts w:ascii="宋体" w:hAnsi="宋体" w:hint="eastAsia"/>
          <w:bCs/>
          <w:sz w:val="24"/>
        </w:rPr>
        <w:t>出现</w:t>
      </w:r>
      <w:r>
        <w:rPr>
          <w:rFonts w:ascii="宋体" w:hAnsi="宋体"/>
          <w:sz w:val="24"/>
        </w:rPr>
        <w:t>基金份额持有人数量不满</w:t>
      </w:r>
      <w:r>
        <w:rPr>
          <w:rFonts w:ascii="宋体" w:hAnsi="宋体" w:hint="eastAsia"/>
          <w:bCs/>
          <w:sz w:val="24"/>
        </w:rPr>
        <w:t>二</w:t>
      </w:r>
      <w:r>
        <w:rPr>
          <w:rFonts w:ascii="宋体" w:hAnsi="宋体"/>
          <w:bCs/>
          <w:sz w:val="24"/>
        </w:rPr>
        <w:t>百</w:t>
      </w:r>
      <w:r>
        <w:rPr>
          <w:rFonts w:ascii="宋体" w:hAnsi="宋体"/>
          <w:sz w:val="24"/>
        </w:rPr>
        <w:t>人或者基金资产净值低于</w:t>
      </w:r>
      <w:r>
        <w:rPr>
          <w:rFonts w:ascii="宋体" w:hAnsi="宋体"/>
          <w:bCs/>
          <w:sz w:val="24"/>
        </w:rPr>
        <w:t>五千万</w:t>
      </w:r>
      <w:r>
        <w:rPr>
          <w:rFonts w:ascii="宋体" w:hAnsi="宋体"/>
          <w:sz w:val="24"/>
        </w:rPr>
        <w:t>元</w:t>
      </w:r>
      <w:r>
        <w:rPr>
          <w:rFonts w:ascii="宋体" w:hAnsi="宋体" w:hint="eastAsia"/>
          <w:bCs/>
          <w:sz w:val="24"/>
        </w:rPr>
        <w:t>情形</w:t>
      </w:r>
      <w:r>
        <w:rPr>
          <w:rFonts w:ascii="宋体" w:hAnsi="宋体"/>
          <w:bCs/>
          <w:sz w:val="24"/>
        </w:rPr>
        <w:t>的</w:t>
      </w:r>
      <w:r>
        <w:rPr>
          <w:rFonts w:ascii="宋体" w:hAnsi="宋体"/>
          <w:sz w:val="24"/>
        </w:rPr>
        <w:t>，基金管理人应当</w:t>
      </w:r>
      <w:r>
        <w:rPr>
          <w:rFonts w:ascii="宋体" w:hAnsi="宋体"/>
          <w:bCs/>
          <w:sz w:val="24"/>
        </w:rPr>
        <w:t>在</w:t>
      </w:r>
      <w:r>
        <w:rPr>
          <w:rFonts w:ascii="宋体" w:hAnsi="宋体" w:hint="eastAsia"/>
          <w:bCs/>
          <w:sz w:val="24"/>
        </w:rPr>
        <w:t>定期</w:t>
      </w:r>
      <w:r>
        <w:rPr>
          <w:rFonts w:ascii="宋体" w:hAnsi="宋体" w:hint="eastAsia"/>
          <w:sz w:val="24"/>
        </w:rPr>
        <w:t>报告</w:t>
      </w:r>
      <w:r>
        <w:rPr>
          <w:rFonts w:ascii="宋体" w:hAnsi="宋体" w:hint="eastAsia"/>
          <w:bCs/>
          <w:sz w:val="24"/>
        </w:rPr>
        <w:t>中</w:t>
      </w:r>
      <w:r>
        <w:rPr>
          <w:rFonts w:ascii="宋体" w:hAnsi="宋体"/>
          <w:bCs/>
          <w:sz w:val="24"/>
        </w:rPr>
        <w:t>予以</w:t>
      </w:r>
      <w:r>
        <w:rPr>
          <w:rFonts w:ascii="宋体" w:hAnsi="宋体" w:hint="eastAsia"/>
          <w:bCs/>
          <w:sz w:val="24"/>
        </w:rPr>
        <w:t>披露；</w:t>
      </w:r>
      <w:r>
        <w:rPr>
          <w:rFonts w:ascii="宋体" w:hAnsi="宋体"/>
          <w:sz w:val="24"/>
        </w:rPr>
        <w:t>连续</w:t>
      </w:r>
      <w:r>
        <w:rPr>
          <w:rFonts w:ascii="宋体" w:hAnsi="宋体" w:hint="eastAsia"/>
          <w:bCs/>
          <w:sz w:val="24"/>
        </w:rPr>
        <w:t>六</w:t>
      </w:r>
      <w:r>
        <w:rPr>
          <w:rFonts w:ascii="宋体" w:hAnsi="宋体"/>
          <w:bCs/>
          <w:sz w:val="24"/>
        </w:rPr>
        <w:t>十</w:t>
      </w:r>
      <w:r>
        <w:rPr>
          <w:rFonts w:ascii="宋体" w:hAnsi="宋体"/>
          <w:sz w:val="24"/>
        </w:rPr>
        <w:t>个工作日</w:t>
      </w:r>
      <w:r>
        <w:rPr>
          <w:rFonts w:ascii="宋体" w:hAnsi="宋体"/>
          <w:bCs/>
          <w:sz w:val="24"/>
        </w:rPr>
        <w:t>出现前述情形的</w:t>
      </w:r>
      <w:r>
        <w:rPr>
          <w:rFonts w:ascii="宋体" w:hAnsi="宋体"/>
          <w:sz w:val="24"/>
        </w:rPr>
        <w:t>，基金管理人应当</w:t>
      </w:r>
      <w:r>
        <w:rPr>
          <w:rFonts w:ascii="宋体" w:hAnsi="宋体" w:hint="eastAsia"/>
          <w:sz w:val="24"/>
        </w:rPr>
        <w:t>向中国证监会报</w:t>
      </w:r>
      <w:r>
        <w:rPr>
          <w:rFonts w:ascii="宋体" w:hAnsi="宋体" w:hint="eastAsia"/>
          <w:sz w:val="24"/>
        </w:rPr>
        <w:lastRenderedPageBreak/>
        <w:t>告并提出解决方案</w:t>
      </w:r>
      <w:r>
        <w:rPr>
          <w:rFonts w:ascii="宋体" w:hAnsi="宋体" w:hint="eastAsia"/>
          <w:bCs/>
          <w:sz w:val="24"/>
        </w:rPr>
        <w:t>，如转换运作方式、与其他基金合并或者终止基金合同等，并召开基金份额持有人大会进行表决</w:t>
      </w:r>
      <w:r>
        <w:rPr>
          <w:rFonts w:ascii="宋体" w:hAnsi="宋体"/>
          <w:sz w:val="24"/>
        </w:rPr>
        <w:t>。</w:t>
      </w:r>
      <w:r>
        <w:rPr>
          <w:rFonts w:ascii="宋体" w:hAnsi="宋体" w:hint="eastAsia"/>
          <w:color w:val="000000"/>
          <w:sz w:val="24"/>
        </w:rPr>
        <w:t>法律法规另有规定时，从其规定。</w:t>
      </w:r>
    </w:p>
    <w:p w14:paraId="5727AC47" w14:textId="77777777" w:rsidR="00DD2567" w:rsidRDefault="00680E4C">
      <w:pPr>
        <w:pStyle w:val="1"/>
        <w:spacing w:before="0" w:after="0"/>
        <w:jc w:val="center"/>
        <w:rPr>
          <w:rFonts w:ascii="Times New Roman"/>
          <w:color w:val="auto"/>
          <w:sz w:val="30"/>
        </w:rPr>
      </w:pPr>
      <w:r>
        <w:rPr>
          <w:rFonts w:ascii="Times New Roman"/>
          <w:color w:val="auto"/>
          <w:sz w:val="30"/>
        </w:rPr>
        <w:br w:type="page"/>
      </w:r>
      <w:bookmarkStart w:id="150" w:name="_Toc342469897"/>
      <w:r>
        <w:rPr>
          <w:rFonts w:ascii="Times New Roman"/>
          <w:color w:val="auto"/>
          <w:sz w:val="30"/>
        </w:rPr>
        <w:lastRenderedPageBreak/>
        <w:t>第</w:t>
      </w:r>
      <w:r>
        <w:rPr>
          <w:rFonts w:ascii="Times New Roman" w:hint="eastAsia"/>
          <w:color w:val="auto"/>
          <w:sz w:val="30"/>
        </w:rPr>
        <w:t>八</w:t>
      </w:r>
      <w:r>
        <w:rPr>
          <w:rFonts w:ascii="Times New Roman"/>
          <w:color w:val="auto"/>
          <w:sz w:val="30"/>
        </w:rPr>
        <w:t>部分</w:t>
      </w:r>
      <w:r w:rsidR="00C00DE9">
        <w:rPr>
          <w:rFonts w:ascii="Times New Roman" w:hint="eastAsia"/>
          <w:color w:val="auto"/>
          <w:sz w:val="30"/>
        </w:rPr>
        <w:t xml:space="preserve"> </w:t>
      </w:r>
      <w:r>
        <w:rPr>
          <w:rFonts w:ascii="Times New Roman"/>
          <w:color w:val="auto"/>
          <w:sz w:val="30"/>
        </w:rPr>
        <w:t>基金份额</w:t>
      </w:r>
      <w:r>
        <w:rPr>
          <w:rFonts w:ascii="Times New Roman" w:hint="eastAsia"/>
          <w:color w:val="auto"/>
          <w:sz w:val="30"/>
        </w:rPr>
        <w:t>的申购与赎回</w:t>
      </w:r>
      <w:bookmarkEnd w:id="150"/>
    </w:p>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14:paraId="28090F23" w14:textId="77777777" w:rsidR="00DD2567" w:rsidRDefault="00DD2567">
      <w:pPr>
        <w:tabs>
          <w:tab w:val="left" w:pos="1080"/>
        </w:tabs>
        <w:spacing w:line="360" w:lineRule="auto"/>
        <w:ind w:leftChars="199" w:left="1076" w:hangingChars="274" w:hanging="658"/>
        <w:rPr>
          <w:bCs/>
          <w:sz w:val="24"/>
        </w:rPr>
      </w:pPr>
    </w:p>
    <w:p w14:paraId="7E96886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一、申购和赎回场所</w:t>
      </w:r>
    </w:p>
    <w:p w14:paraId="6FFBDDB0"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本基金的申购与赎回将通过销售机构进行。</w:t>
      </w:r>
      <w:r>
        <w:rPr>
          <w:bCs/>
          <w:sz w:val="24"/>
        </w:rPr>
        <w:t>具体的销售网点将由基金管理人在</w:t>
      </w:r>
      <w:r>
        <w:rPr>
          <w:rFonts w:hint="eastAsia"/>
          <w:bCs/>
          <w:sz w:val="24"/>
        </w:rPr>
        <w:t>本</w:t>
      </w:r>
      <w:r>
        <w:rPr>
          <w:bCs/>
          <w:sz w:val="24"/>
        </w:rPr>
        <w:t>招募说明书或其他相关公告中列明。</w:t>
      </w:r>
      <w:r>
        <w:rPr>
          <w:rFonts w:ascii="宋体" w:hAnsi="宋体" w:hint="eastAsia"/>
          <w:color w:val="000000"/>
          <w:sz w:val="24"/>
        </w:rPr>
        <w:t>基金管理人可根据情况变更或增减销售机构，并予以公告。基金投资者应当在销售机构办理基金销售业务的营业场所或按销售机构提供的其他方式办理基金份额的申购与赎回。</w:t>
      </w:r>
    </w:p>
    <w:p w14:paraId="2C7495F6"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二、申购和赎回的开放日及时间</w:t>
      </w:r>
    </w:p>
    <w:p w14:paraId="0FA9BCF0"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w:t>
      </w:r>
      <w:r>
        <w:rPr>
          <w:rFonts w:ascii="宋体" w:hAnsi="宋体"/>
          <w:color w:val="000000"/>
          <w:sz w:val="24"/>
        </w:rPr>
        <w:t>开放日及</w:t>
      </w:r>
      <w:r>
        <w:rPr>
          <w:rFonts w:ascii="宋体" w:hAnsi="宋体" w:hint="eastAsia"/>
          <w:color w:val="000000"/>
          <w:sz w:val="24"/>
        </w:rPr>
        <w:t>开放</w:t>
      </w:r>
      <w:r>
        <w:rPr>
          <w:rFonts w:ascii="宋体" w:hAnsi="宋体"/>
          <w:color w:val="000000"/>
          <w:sz w:val="24"/>
        </w:rPr>
        <w:t>时间</w:t>
      </w:r>
    </w:p>
    <w:p w14:paraId="7DC1E9FF" w14:textId="77777777" w:rsidR="00DD2567" w:rsidRDefault="00680E4C">
      <w:pPr>
        <w:snapToGrid w:val="0"/>
        <w:spacing w:line="360" w:lineRule="auto"/>
        <w:ind w:firstLineChars="200" w:firstLine="480"/>
        <w:rPr>
          <w:rFonts w:ascii="宋体" w:hAnsi="宋体"/>
          <w:color w:val="000000"/>
          <w:sz w:val="24"/>
        </w:rPr>
      </w:pPr>
      <w:r>
        <w:rPr>
          <w:rFonts w:ascii="宋体" w:hAnsi="宋体"/>
          <w:color w:val="000000"/>
          <w:sz w:val="24"/>
        </w:rPr>
        <w:t>投资</w:t>
      </w:r>
      <w:r>
        <w:rPr>
          <w:rFonts w:ascii="宋体" w:hAnsi="宋体" w:hint="eastAsia"/>
          <w:color w:val="000000"/>
          <w:sz w:val="24"/>
        </w:rPr>
        <w:t>人</w:t>
      </w:r>
      <w:r>
        <w:rPr>
          <w:rFonts w:ascii="宋体" w:hAnsi="宋体"/>
          <w:color w:val="000000"/>
          <w:sz w:val="24"/>
        </w:rPr>
        <w:t>在开放日办理基金份额的申购和赎回</w:t>
      </w:r>
      <w:r>
        <w:rPr>
          <w:rFonts w:ascii="宋体" w:hAnsi="宋体" w:hint="eastAsia"/>
          <w:color w:val="000000"/>
          <w:sz w:val="24"/>
        </w:rPr>
        <w:t>，具体办理时间为上海证券交易所、深圳证券交易所的正常交易日的交易时间，但基金管理人根据法律法规、中国证监会的要求或基金合同的规定公告暂停申购、赎回时除外。</w:t>
      </w:r>
    </w:p>
    <w:p w14:paraId="133ADF4A" w14:textId="77777777" w:rsidR="00DD2567" w:rsidRDefault="00680E4C">
      <w:pPr>
        <w:snapToGrid w:val="0"/>
        <w:spacing w:line="360" w:lineRule="auto"/>
        <w:ind w:firstLineChars="200" w:firstLine="480"/>
        <w:rPr>
          <w:rFonts w:ascii="宋体" w:hAnsi="宋体"/>
          <w:color w:val="000000"/>
          <w:sz w:val="24"/>
        </w:rPr>
      </w:pPr>
      <w:r>
        <w:rPr>
          <w:rFonts w:ascii="宋体" w:hAnsi="宋体"/>
          <w:color w:val="000000"/>
          <w:sz w:val="24"/>
        </w:rPr>
        <w:t>基金合同生效后，若出现新的证券交易市场、证券交易所交易时间变更或其他特殊情况，基金管理人将视情况对前述开放日及开放时间进行相应的调整</w:t>
      </w:r>
      <w:r>
        <w:rPr>
          <w:rFonts w:ascii="宋体" w:hAnsi="宋体" w:hint="eastAsia"/>
          <w:color w:val="000000"/>
          <w:sz w:val="24"/>
        </w:rPr>
        <w:t>，但应在实施日前依照《信息披露办法》的有关规定在指定媒介上公告。</w:t>
      </w:r>
    </w:p>
    <w:p w14:paraId="5494D2E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w:t>
      </w:r>
      <w:r>
        <w:rPr>
          <w:rFonts w:ascii="宋体" w:hAnsi="宋体"/>
          <w:color w:val="000000"/>
          <w:sz w:val="24"/>
        </w:rPr>
        <w:t>申购、赎回开始日及业务办理时间</w:t>
      </w:r>
    </w:p>
    <w:p w14:paraId="6C6BCA85"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基金管理人自基金合同生效之日起不超过三个月开始办理申购，具体业务办理时间在申购开始公告中规定。</w:t>
      </w:r>
    </w:p>
    <w:p w14:paraId="7E455204"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基金管理人自基金合同生效之日起不超过三个月开始办理赎回，具体业务办理时间在赎回开始公告中规定。</w:t>
      </w:r>
    </w:p>
    <w:p w14:paraId="44684D7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在确定申购开始与赎回开始时间后，基金管理人应在申购、赎回开放日前依照《信息披露办法》的有关规定在指定媒介上公告</w:t>
      </w:r>
      <w:r>
        <w:rPr>
          <w:bCs/>
          <w:sz w:val="24"/>
        </w:rPr>
        <w:t>申购与赎回的开始时间</w:t>
      </w:r>
      <w:r>
        <w:rPr>
          <w:rFonts w:ascii="宋体" w:hAnsi="宋体" w:hint="eastAsia"/>
          <w:color w:val="000000"/>
          <w:sz w:val="24"/>
        </w:rPr>
        <w:t>。</w:t>
      </w:r>
    </w:p>
    <w:p w14:paraId="70711C0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基金管理人不得在基金合同约定之外的日期或者时间办理基金份额的申购或者赎回或者转换。投资人在基金合同约定之外的日期和时间提出申购、赎回或转换申请</w:t>
      </w:r>
      <w:r>
        <w:rPr>
          <w:rFonts w:hint="eastAsia"/>
          <w:bCs/>
          <w:sz w:val="24"/>
        </w:rPr>
        <w:t>且登记机构确认接收</w:t>
      </w:r>
      <w:r>
        <w:rPr>
          <w:rFonts w:ascii="宋体" w:hAnsi="宋体" w:hint="eastAsia"/>
          <w:color w:val="000000"/>
          <w:sz w:val="24"/>
        </w:rPr>
        <w:t>的，其基金份额申购、赎回价格为下一开放日基金份额申购、赎回的价格。</w:t>
      </w:r>
    </w:p>
    <w:p w14:paraId="3E4E4404"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三、申购与赎回的原则</w:t>
      </w:r>
    </w:p>
    <w:p w14:paraId="5B941BE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1、“未知价”原则，即申购、赎回价格以申请当日收市后计算的基金份额净值为基准进行计算；</w:t>
      </w:r>
    </w:p>
    <w:p w14:paraId="5BFF4D93"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lastRenderedPageBreak/>
        <w:t>2、“金额申购、份额赎回”原则，即申购以金额申请，赎回以份额申请；</w:t>
      </w:r>
    </w:p>
    <w:p w14:paraId="6C4FE66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3、当日的申购与赎回申请可以在基金管理人规定的时间以内撤销；</w:t>
      </w:r>
    </w:p>
    <w:p w14:paraId="5045F93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4、赎回遵循“先进先出”原则，即</w:t>
      </w:r>
      <w:r>
        <w:rPr>
          <w:rFonts w:ascii="宋体" w:hAnsi="宋体"/>
          <w:color w:val="000000"/>
          <w:sz w:val="24"/>
        </w:rPr>
        <w:t>按照投资人认购、申购的先后次序进行</w:t>
      </w:r>
      <w:r>
        <w:rPr>
          <w:rFonts w:ascii="宋体" w:hAnsi="宋体" w:hint="eastAsia"/>
          <w:color w:val="000000"/>
          <w:sz w:val="24"/>
        </w:rPr>
        <w:t>顺序赎回</w:t>
      </w:r>
      <w:r>
        <w:rPr>
          <w:rFonts w:ascii="宋体" w:hAnsi="宋体" w:hint="eastAsia"/>
          <w:bCs/>
          <w:sz w:val="24"/>
        </w:rPr>
        <w:t>。</w:t>
      </w:r>
    </w:p>
    <w:p w14:paraId="2777AFD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5、基金管理人可在法律法规允许的情况下，对上述原则进行调整。基金管理人必须在新规则开始实施前依照《信息披露办法》的有关规定在指定媒介上公告。</w:t>
      </w:r>
    </w:p>
    <w:p w14:paraId="35A1AFA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四、申购与赎回的程序</w:t>
      </w:r>
    </w:p>
    <w:p w14:paraId="16DCB71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1、申购和赎回的申请方式</w:t>
      </w:r>
    </w:p>
    <w:p w14:paraId="2C68DF3F"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投资人必须根据销售机构规定的程序，在开放日的具体业务办理时间内提出申购或赎回的申请。</w:t>
      </w:r>
    </w:p>
    <w:p w14:paraId="4E495152"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2、申购和赎回申请的确认</w:t>
      </w:r>
    </w:p>
    <w:p w14:paraId="6DC1A40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基金管理人应以交易时间结束前受理有效申购和赎回申请的当天作为申购或赎回申请日（</w:t>
      </w:r>
      <w:r>
        <w:rPr>
          <w:rFonts w:ascii="宋体" w:hAnsi="宋体"/>
          <w:color w:val="000000"/>
          <w:sz w:val="24"/>
        </w:rPr>
        <w:t>T</w:t>
      </w:r>
      <w:r>
        <w:rPr>
          <w:rFonts w:ascii="宋体" w:hAnsi="宋体" w:hint="eastAsia"/>
          <w:color w:val="000000"/>
          <w:sz w:val="24"/>
        </w:rPr>
        <w:t>日），在正常情况下，登记机构在</w:t>
      </w:r>
      <w:r>
        <w:rPr>
          <w:rFonts w:ascii="宋体" w:hAnsi="宋体"/>
          <w:color w:val="000000"/>
          <w:sz w:val="24"/>
        </w:rPr>
        <w:t>T+1日</w:t>
      </w:r>
      <w:r>
        <w:rPr>
          <w:rFonts w:ascii="宋体" w:hAnsi="宋体" w:hint="eastAsia"/>
          <w:color w:val="000000"/>
          <w:sz w:val="24"/>
        </w:rPr>
        <w:t>内对该交易的有效性进行确认。</w:t>
      </w:r>
      <w:r>
        <w:rPr>
          <w:rFonts w:ascii="宋体" w:hAnsi="宋体"/>
          <w:color w:val="000000"/>
          <w:sz w:val="24"/>
        </w:rPr>
        <w:t>T日提交的有效申请，投资人</w:t>
      </w:r>
      <w:r>
        <w:rPr>
          <w:rFonts w:ascii="宋体" w:hAnsi="宋体" w:hint="eastAsia"/>
          <w:color w:val="000000"/>
          <w:sz w:val="24"/>
        </w:rPr>
        <w:t>应</w:t>
      </w:r>
      <w:r>
        <w:rPr>
          <w:rFonts w:ascii="宋体" w:hAnsi="宋体"/>
          <w:color w:val="000000"/>
          <w:sz w:val="24"/>
        </w:rPr>
        <w:t>在T+</w:t>
      </w:r>
      <w:r>
        <w:rPr>
          <w:rFonts w:ascii="宋体" w:hAnsi="宋体" w:hint="eastAsia"/>
          <w:color w:val="000000"/>
          <w:sz w:val="24"/>
        </w:rPr>
        <w:t>2</w:t>
      </w:r>
      <w:r>
        <w:rPr>
          <w:rFonts w:ascii="宋体" w:hAnsi="宋体"/>
          <w:color w:val="000000"/>
          <w:sz w:val="24"/>
        </w:rPr>
        <w:t>日</w:t>
      </w:r>
      <w:r>
        <w:rPr>
          <w:rFonts w:ascii="宋体" w:hAnsi="宋体" w:hint="eastAsia"/>
          <w:color w:val="000000"/>
          <w:sz w:val="24"/>
        </w:rPr>
        <w:t>后（包括该日）及时</w:t>
      </w:r>
      <w:r>
        <w:rPr>
          <w:rFonts w:ascii="宋体" w:hAnsi="宋体"/>
          <w:color w:val="000000"/>
          <w:sz w:val="24"/>
        </w:rPr>
        <w:t>到销售网点柜台或以销售机构规定的其他方式查询申请的确认情况</w:t>
      </w:r>
      <w:r>
        <w:rPr>
          <w:rFonts w:ascii="宋体" w:hAnsi="宋体" w:hint="eastAsia"/>
          <w:color w:val="000000"/>
          <w:sz w:val="24"/>
        </w:rPr>
        <w:t>。</w:t>
      </w:r>
      <w:r>
        <w:rPr>
          <w:rFonts w:ascii="宋体" w:hAnsi="宋体"/>
          <w:bCs/>
          <w:sz w:val="24"/>
        </w:rPr>
        <w:t>若申购不成功，则申购款项退还给投资人。</w:t>
      </w:r>
    </w:p>
    <w:p w14:paraId="38BEC0A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3、申购和赎回的款项支付</w:t>
      </w:r>
    </w:p>
    <w:p w14:paraId="08F21A0B" w14:textId="77777777" w:rsidR="00DD2567" w:rsidRDefault="00680E4C">
      <w:pPr>
        <w:spacing w:line="360" w:lineRule="auto"/>
        <w:ind w:firstLineChars="200" w:firstLine="480"/>
        <w:rPr>
          <w:rFonts w:ascii="宋体" w:hAnsi="宋体"/>
          <w:sz w:val="24"/>
        </w:rPr>
      </w:pPr>
      <w:r>
        <w:rPr>
          <w:rFonts w:ascii="宋体" w:hAnsi="宋体" w:hint="eastAsia"/>
          <w:sz w:val="24"/>
        </w:rPr>
        <w:t>投资人</w:t>
      </w:r>
      <w:r>
        <w:rPr>
          <w:rFonts w:ascii="宋体" w:hAnsi="宋体" w:hint="eastAsia"/>
          <w:bCs/>
          <w:sz w:val="24"/>
        </w:rPr>
        <w:t>交付</w:t>
      </w:r>
      <w:r>
        <w:rPr>
          <w:rFonts w:ascii="宋体" w:hAnsi="宋体" w:hint="eastAsia"/>
          <w:sz w:val="24"/>
        </w:rPr>
        <w:t>申购款项</w:t>
      </w:r>
      <w:r>
        <w:rPr>
          <w:rFonts w:ascii="宋体" w:hAnsi="宋体" w:hint="eastAsia"/>
          <w:bCs/>
          <w:sz w:val="24"/>
        </w:rPr>
        <w:t>，申购成立；基金份额登记机构确认基金份额时，申购生效。基金份额持有人递交赎回申请，赎回成立；基金份额登记机构确认赎回时，赎回生效</w:t>
      </w:r>
      <w:r>
        <w:rPr>
          <w:rFonts w:ascii="宋体" w:hAnsi="宋体" w:hint="eastAsia"/>
          <w:sz w:val="24"/>
        </w:rPr>
        <w:t>。</w:t>
      </w:r>
    </w:p>
    <w:p w14:paraId="4ADDDB22" w14:textId="77777777" w:rsidR="00DD2567" w:rsidRDefault="00680E4C">
      <w:pPr>
        <w:snapToGrid w:val="0"/>
        <w:spacing w:line="360" w:lineRule="auto"/>
        <w:ind w:firstLineChars="200" w:firstLine="480"/>
        <w:rPr>
          <w:rFonts w:ascii="宋体" w:hAnsi="宋体"/>
          <w:sz w:val="24"/>
        </w:rPr>
      </w:pPr>
      <w:r>
        <w:rPr>
          <w:rFonts w:ascii="宋体" w:hAnsi="宋体"/>
          <w:sz w:val="24"/>
        </w:rPr>
        <w:t>投资人赎回申请成功后，基金管理人将在T</w:t>
      </w:r>
      <w:r>
        <w:rPr>
          <w:rFonts w:ascii="宋体" w:hAnsi="宋体"/>
          <w:bCs/>
          <w:sz w:val="24"/>
        </w:rPr>
        <w:t>+</w:t>
      </w:r>
      <w:r>
        <w:rPr>
          <w:rFonts w:ascii="宋体" w:hAnsi="宋体" w:hint="eastAsia"/>
          <w:sz w:val="24"/>
        </w:rPr>
        <w:t>7</w:t>
      </w:r>
      <w:r>
        <w:rPr>
          <w:rFonts w:ascii="宋体" w:hAnsi="宋体"/>
          <w:sz w:val="24"/>
        </w:rPr>
        <w:t>日（包括该日）内</w:t>
      </w:r>
      <w:r>
        <w:rPr>
          <w:rFonts w:ascii="宋体" w:hAnsi="宋体"/>
          <w:bCs/>
          <w:sz w:val="24"/>
        </w:rPr>
        <w:t>支付</w:t>
      </w:r>
      <w:r>
        <w:rPr>
          <w:rFonts w:ascii="宋体" w:hAnsi="宋体"/>
          <w:sz w:val="24"/>
        </w:rPr>
        <w:t>赎回款项。在发生巨额赎回</w:t>
      </w:r>
      <w:r>
        <w:rPr>
          <w:rFonts w:ascii="宋体" w:hAnsi="宋体" w:hint="eastAsia"/>
          <w:bCs/>
          <w:sz w:val="24"/>
        </w:rPr>
        <w:t>或基金合同约定的延缓支付赎回款项</w:t>
      </w:r>
      <w:r>
        <w:rPr>
          <w:rFonts w:ascii="宋体" w:hAnsi="宋体"/>
          <w:sz w:val="24"/>
        </w:rPr>
        <w:t>时，款项的支付办法参照基金合同有关条款处理。</w:t>
      </w:r>
    </w:p>
    <w:p w14:paraId="3C2C779A" w14:textId="77777777" w:rsidR="00DD2567" w:rsidRDefault="00680E4C">
      <w:pPr>
        <w:snapToGrid w:val="0"/>
        <w:spacing w:line="360" w:lineRule="auto"/>
        <w:ind w:firstLineChars="200" w:firstLine="480"/>
        <w:rPr>
          <w:rFonts w:ascii="宋体" w:hAnsi="宋体"/>
          <w:sz w:val="24"/>
        </w:rPr>
      </w:pPr>
      <w:r>
        <w:rPr>
          <w:rFonts w:ascii="宋体" w:hAnsi="宋体" w:hint="eastAsia"/>
          <w:sz w:val="24"/>
        </w:rPr>
        <w:t>销售机构对申购、赎回申请的受理并不代表申请一定成功，而仅代表销售机构确实接收到申请。申购、赎回的确认以登记机构的确认结果为准。对于申请的确认情况，投资者应及时查询。</w:t>
      </w:r>
    </w:p>
    <w:p w14:paraId="10F5170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五、申购和赎回的数量限制</w:t>
      </w:r>
    </w:p>
    <w:p w14:paraId="2581375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1、申购金额的限制</w:t>
      </w:r>
    </w:p>
    <w:p w14:paraId="6934EF9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销售机构销售网点每个账户单笔申购的最低金额为1,000元人民币（含申购</w:t>
      </w:r>
      <w:r>
        <w:rPr>
          <w:rFonts w:ascii="宋体" w:hAnsi="宋体" w:hint="eastAsia"/>
          <w:color w:val="000000"/>
          <w:sz w:val="24"/>
        </w:rPr>
        <w:lastRenderedPageBreak/>
        <w:t xml:space="preserve">费）。直销中心每个账户单笔申购最低金额为10,000元人民币（含申购费）。通过本公司网上直销系统办理基金申购业务的单笔申购最低金额为1,000元人民币（含申购费）。本基金直销网点单笔申购最低金额可由基金管理人酌情调整。 </w:t>
      </w:r>
    </w:p>
    <w:p w14:paraId="2ED8CF7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代销网点的投资人欲转入基金管理人的直销机构进行交易要受基金管理人的直销网点最低金额的限制。</w:t>
      </w:r>
    </w:p>
    <w:p w14:paraId="4E9C175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投资人可多次申购，对单个投资人累计持有的基金份额上限或持有的基金份额占基金份额总数的比例上限不设限制。法律法规、中国证监会另有规定的除外。</w:t>
      </w:r>
    </w:p>
    <w:p w14:paraId="55386242"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2、赎回份额的限制</w:t>
      </w:r>
    </w:p>
    <w:p w14:paraId="6F1E6F44" w14:textId="77777777" w:rsidR="00DD2567" w:rsidRDefault="00680E4C">
      <w:pPr>
        <w:snapToGrid w:val="0"/>
        <w:spacing w:line="360" w:lineRule="auto"/>
        <w:ind w:firstLineChars="200" w:firstLine="480"/>
        <w:rPr>
          <w:rFonts w:ascii="宋体" w:hAnsi="宋体"/>
          <w:sz w:val="24"/>
        </w:rPr>
      </w:pPr>
      <w:r>
        <w:rPr>
          <w:rFonts w:ascii="宋体" w:hAnsi="宋体" w:hint="eastAsia"/>
          <w:sz w:val="24"/>
        </w:rPr>
        <w:t>赎回的最低份额为5份基金份额；基金份额持有人可将其全部或部分基金份额赎回，但某笔赎回导致单个交易账户的基金份额余额少于5份时，剩余基金份额将与该次赎回份额一起全部赎回。</w:t>
      </w:r>
    </w:p>
    <w:p w14:paraId="7D9F761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3、基金管理人可以根据市场情况，在法律法规允许的情况下，调整上述规定</w:t>
      </w:r>
      <w:r>
        <w:rPr>
          <w:rFonts w:ascii="宋体" w:hAnsi="宋体"/>
          <w:bCs/>
          <w:sz w:val="24"/>
        </w:rPr>
        <w:t>申购金额和赎回</w:t>
      </w:r>
      <w:r>
        <w:rPr>
          <w:bCs/>
          <w:sz w:val="24"/>
        </w:rPr>
        <w:t>份额</w:t>
      </w:r>
      <w:r>
        <w:rPr>
          <w:rFonts w:ascii="宋体" w:hAnsi="宋体" w:hint="eastAsia"/>
          <w:color w:val="000000"/>
          <w:sz w:val="24"/>
        </w:rPr>
        <w:t>的数量或比例限制。基金管理人必须在调整实施前依照</w:t>
      </w:r>
      <w:r>
        <w:rPr>
          <w:bCs/>
          <w:sz w:val="24"/>
        </w:rPr>
        <w:t>《信息披露办法》的</w:t>
      </w:r>
      <w:r>
        <w:rPr>
          <w:rFonts w:ascii="宋体" w:hAnsi="宋体" w:hint="eastAsia"/>
          <w:color w:val="000000"/>
          <w:sz w:val="24"/>
        </w:rPr>
        <w:t>有关规定在指定媒介上公告</w:t>
      </w:r>
      <w:r>
        <w:rPr>
          <w:bCs/>
          <w:sz w:val="24"/>
        </w:rPr>
        <w:t>并报中国证监会备案</w:t>
      </w:r>
      <w:r>
        <w:rPr>
          <w:rFonts w:ascii="宋体" w:hAnsi="宋体" w:hint="eastAsia"/>
          <w:color w:val="000000"/>
          <w:sz w:val="24"/>
        </w:rPr>
        <w:t>。</w:t>
      </w:r>
    </w:p>
    <w:p w14:paraId="698344D2"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六、申购费用和赎回费用</w:t>
      </w:r>
    </w:p>
    <w:p w14:paraId="6BF42A1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1、申购费用</w:t>
      </w:r>
    </w:p>
    <w:p w14:paraId="10FFB396"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本基金的申购费率如下：</w:t>
      </w:r>
    </w:p>
    <w:tbl>
      <w:tblPr>
        <w:tblW w:w="6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8"/>
        <w:gridCol w:w="3008"/>
      </w:tblGrid>
      <w:tr w:rsidR="00DD2567" w14:paraId="27C53B8A" w14:textId="77777777">
        <w:trPr>
          <w:cantSplit/>
          <w:trHeight w:hRule="exact" w:val="388"/>
          <w:jc w:val="center"/>
        </w:trPr>
        <w:tc>
          <w:tcPr>
            <w:tcW w:w="3008" w:type="dxa"/>
            <w:vAlign w:val="center"/>
          </w:tcPr>
          <w:p w14:paraId="3C994574" w14:textId="77777777" w:rsidR="00DD2567" w:rsidRDefault="00680E4C">
            <w:pPr>
              <w:spacing w:line="360" w:lineRule="auto"/>
              <w:ind w:firstLineChars="200" w:firstLine="480"/>
              <w:rPr>
                <w:rFonts w:ascii="宋体" w:hAnsi="宋体"/>
                <w:sz w:val="24"/>
              </w:rPr>
            </w:pPr>
            <w:r>
              <w:rPr>
                <w:rFonts w:ascii="宋体" w:hAnsi="宋体"/>
                <w:sz w:val="24"/>
              </w:rPr>
              <w:t>单笔</w:t>
            </w:r>
            <w:r>
              <w:rPr>
                <w:rFonts w:ascii="宋体" w:hAnsi="宋体" w:hint="eastAsia"/>
                <w:sz w:val="24"/>
              </w:rPr>
              <w:t>申购</w:t>
            </w:r>
            <w:r>
              <w:rPr>
                <w:rFonts w:ascii="宋体" w:hAnsi="宋体"/>
                <w:sz w:val="24"/>
              </w:rPr>
              <w:t>金额</w:t>
            </w:r>
          </w:p>
        </w:tc>
        <w:tc>
          <w:tcPr>
            <w:tcW w:w="3008" w:type="dxa"/>
            <w:vAlign w:val="center"/>
          </w:tcPr>
          <w:p w14:paraId="5F0A4350" w14:textId="77777777" w:rsidR="00DD2567" w:rsidRDefault="00680E4C">
            <w:pPr>
              <w:spacing w:line="360" w:lineRule="auto"/>
              <w:ind w:firstLineChars="200" w:firstLine="480"/>
              <w:rPr>
                <w:rFonts w:ascii="宋体" w:hAnsi="宋体"/>
                <w:sz w:val="24"/>
              </w:rPr>
            </w:pPr>
            <w:r>
              <w:rPr>
                <w:rFonts w:ascii="宋体" w:hAnsi="宋体" w:hint="eastAsia"/>
                <w:sz w:val="24"/>
              </w:rPr>
              <w:t>申</w:t>
            </w:r>
            <w:r>
              <w:rPr>
                <w:rFonts w:ascii="宋体" w:hAnsi="宋体"/>
                <w:sz w:val="24"/>
              </w:rPr>
              <w:t>购费率</w:t>
            </w:r>
          </w:p>
        </w:tc>
      </w:tr>
      <w:tr w:rsidR="00DD2567" w14:paraId="2A899E04" w14:textId="77777777">
        <w:trPr>
          <w:cantSplit/>
          <w:trHeight w:hRule="exact" w:val="388"/>
          <w:jc w:val="center"/>
        </w:trPr>
        <w:tc>
          <w:tcPr>
            <w:tcW w:w="3008" w:type="dxa"/>
            <w:vAlign w:val="center"/>
          </w:tcPr>
          <w:p w14:paraId="5489F10D" w14:textId="77777777" w:rsidR="00DD2567" w:rsidRDefault="00680E4C">
            <w:pPr>
              <w:spacing w:line="360" w:lineRule="auto"/>
              <w:ind w:firstLineChars="200" w:firstLine="480"/>
              <w:rPr>
                <w:rFonts w:ascii="宋体" w:hAnsi="宋体"/>
                <w:sz w:val="24"/>
              </w:rPr>
            </w:pPr>
            <w:r>
              <w:rPr>
                <w:rFonts w:ascii="宋体" w:hAnsi="宋体"/>
                <w:sz w:val="24"/>
              </w:rPr>
              <w:t>M&lt;100万</w:t>
            </w:r>
          </w:p>
        </w:tc>
        <w:tc>
          <w:tcPr>
            <w:tcW w:w="3008" w:type="dxa"/>
            <w:vAlign w:val="center"/>
          </w:tcPr>
          <w:p w14:paraId="4AF16A58" w14:textId="5871D96E" w:rsidR="00DD2567" w:rsidRDefault="00680E4C">
            <w:pPr>
              <w:spacing w:line="360" w:lineRule="auto"/>
              <w:ind w:firstLineChars="200" w:firstLine="480"/>
              <w:rPr>
                <w:rFonts w:ascii="宋体" w:hAnsi="宋体"/>
                <w:sz w:val="24"/>
              </w:rPr>
            </w:pPr>
            <w:r>
              <w:rPr>
                <w:rFonts w:ascii="宋体" w:hAnsi="宋体"/>
                <w:sz w:val="24"/>
              </w:rPr>
              <w:t>1.5%</w:t>
            </w:r>
          </w:p>
        </w:tc>
      </w:tr>
      <w:tr w:rsidR="00DD2567" w14:paraId="3123CFEB" w14:textId="77777777">
        <w:trPr>
          <w:cantSplit/>
          <w:trHeight w:hRule="exact" w:val="388"/>
          <w:jc w:val="center"/>
        </w:trPr>
        <w:tc>
          <w:tcPr>
            <w:tcW w:w="3008" w:type="dxa"/>
            <w:vAlign w:val="center"/>
          </w:tcPr>
          <w:p w14:paraId="7C7FD671" w14:textId="77777777" w:rsidR="00DD2567" w:rsidRDefault="00680E4C">
            <w:pPr>
              <w:spacing w:line="360" w:lineRule="auto"/>
              <w:ind w:firstLineChars="200" w:firstLine="480"/>
              <w:rPr>
                <w:rFonts w:ascii="宋体" w:hAnsi="宋体"/>
                <w:sz w:val="24"/>
              </w:rPr>
            </w:pPr>
            <w:r>
              <w:rPr>
                <w:rFonts w:ascii="宋体" w:hAnsi="宋体"/>
                <w:sz w:val="24"/>
              </w:rPr>
              <w:t>100万≤M&lt;200万</w:t>
            </w:r>
          </w:p>
        </w:tc>
        <w:tc>
          <w:tcPr>
            <w:tcW w:w="3008" w:type="dxa"/>
            <w:vAlign w:val="center"/>
          </w:tcPr>
          <w:p w14:paraId="4F52A8D5" w14:textId="37207417" w:rsidR="00DD2567" w:rsidRDefault="00680E4C">
            <w:pPr>
              <w:spacing w:line="360" w:lineRule="auto"/>
              <w:ind w:firstLineChars="200" w:firstLine="480"/>
              <w:rPr>
                <w:rFonts w:ascii="宋体" w:hAnsi="宋体"/>
                <w:sz w:val="24"/>
              </w:rPr>
            </w:pPr>
            <w:r>
              <w:rPr>
                <w:rFonts w:ascii="宋体" w:hAnsi="宋体"/>
                <w:sz w:val="24"/>
              </w:rPr>
              <w:t>1.2%</w:t>
            </w:r>
          </w:p>
        </w:tc>
      </w:tr>
      <w:tr w:rsidR="00DD2567" w14:paraId="001744FF" w14:textId="77777777">
        <w:trPr>
          <w:cantSplit/>
          <w:trHeight w:hRule="exact" w:val="388"/>
          <w:jc w:val="center"/>
        </w:trPr>
        <w:tc>
          <w:tcPr>
            <w:tcW w:w="3008" w:type="dxa"/>
            <w:vAlign w:val="center"/>
          </w:tcPr>
          <w:p w14:paraId="45EC2A5C" w14:textId="77777777" w:rsidR="00DD2567" w:rsidRDefault="00680E4C">
            <w:pPr>
              <w:spacing w:line="360" w:lineRule="auto"/>
              <w:ind w:firstLineChars="200" w:firstLine="480"/>
              <w:rPr>
                <w:rFonts w:ascii="宋体" w:hAnsi="宋体"/>
                <w:sz w:val="24"/>
              </w:rPr>
            </w:pPr>
            <w:r>
              <w:rPr>
                <w:rFonts w:ascii="宋体" w:hAnsi="宋体"/>
                <w:sz w:val="24"/>
              </w:rPr>
              <w:t>200万≤M&lt;500万</w:t>
            </w:r>
          </w:p>
        </w:tc>
        <w:tc>
          <w:tcPr>
            <w:tcW w:w="3008" w:type="dxa"/>
            <w:vAlign w:val="center"/>
          </w:tcPr>
          <w:p w14:paraId="1021E9E9" w14:textId="5B9D7D21" w:rsidR="00DD2567" w:rsidRDefault="00680E4C">
            <w:pPr>
              <w:spacing w:line="360" w:lineRule="auto"/>
              <w:ind w:firstLineChars="200" w:firstLine="480"/>
              <w:rPr>
                <w:rFonts w:ascii="宋体" w:hAnsi="宋体"/>
                <w:sz w:val="24"/>
              </w:rPr>
            </w:pPr>
            <w:r>
              <w:rPr>
                <w:rFonts w:ascii="宋体" w:hAnsi="宋体"/>
                <w:sz w:val="24"/>
              </w:rPr>
              <w:t>0.8%</w:t>
            </w:r>
          </w:p>
        </w:tc>
      </w:tr>
      <w:tr w:rsidR="00DD2567" w14:paraId="1C12A5EF" w14:textId="77777777">
        <w:trPr>
          <w:cantSplit/>
          <w:trHeight w:hRule="exact" w:val="388"/>
          <w:jc w:val="center"/>
        </w:trPr>
        <w:tc>
          <w:tcPr>
            <w:tcW w:w="3008" w:type="dxa"/>
            <w:vAlign w:val="center"/>
          </w:tcPr>
          <w:p w14:paraId="17BEAAB4" w14:textId="77777777" w:rsidR="00DD2567" w:rsidRDefault="00680E4C">
            <w:pPr>
              <w:spacing w:line="360" w:lineRule="auto"/>
              <w:ind w:firstLineChars="200" w:firstLine="480"/>
              <w:rPr>
                <w:rFonts w:ascii="宋体" w:hAnsi="宋体"/>
                <w:sz w:val="24"/>
              </w:rPr>
            </w:pPr>
            <w:r>
              <w:rPr>
                <w:rFonts w:ascii="宋体" w:hAnsi="宋体"/>
                <w:sz w:val="24"/>
              </w:rPr>
              <w:t>M≥500万</w:t>
            </w:r>
          </w:p>
        </w:tc>
        <w:tc>
          <w:tcPr>
            <w:tcW w:w="3008" w:type="dxa"/>
            <w:vAlign w:val="center"/>
          </w:tcPr>
          <w:p w14:paraId="08A77A7C" w14:textId="77777777" w:rsidR="00DD2567" w:rsidRDefault="00680E4C">
            <w:pPr>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sz w:val="24"/>
              </w:rPr>
              <w:t>000元/笔</w:t>
            </w:r>
          </w:p>
        </w:tc>
      </w:tr>
    </w:tbl>
    <w:p w14:paraId="12747CAA" w14:textId="77777777" w:rsidR="00DD2567" w:rsidRDefault="00680E4C">
      <w:pPr>
        <w:spacing w:line="360" w:lineRule="auto"/>
        <w:ind w:firstLineChars="200" w:firstLine="480"/>
        <w:rPr>
          <w:rFonts w:ascii="宋体" w:hAnsi="宋体"/>
          <w:sz w:val="24"/>
        </w:rPr>
      </w:pPr>
      <w:r>
        <w:rPr>
          <w:rFonts w:ascii="宋体" w:hAnsi="宋体" w:hint="eastAsia"/>
          <w:sz w:val="24"/>
        </w:rPr>
        <w:t>（注：M：申购金额；单位：元）</w:t>
      </w:r>
    </w:p>
    <w:p w14:paraId="19DF47E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 xml:space="preserve">2、赎回费用 </w:t>
      </w:r>
    </w:p>
    <w:p w14:paraId="25D6EB1F"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赎回费用由赎回基金份额的基金份额持有人承担，</w:t>
      </w:r>
      <w:r>
        <w:rPr>
          <w:rFonts w:ascii="宋体" w:hAnsi="宋体"/>
          <w:bCs/>
          <w:sz w:val="24"/>
        </w:rPr>
        <w:t>在基金份额持有人赎回基金份额时收取。</w:t>
      </w:r>
      <w:r>
        <w:rPr>
          <w:rFonts w:ascii="宋体" w:hAnsi="宋体" w:hint="eastAsia"/>
          <w:color w:val="000000"/>
          <w:sz w:val="24"/>
        </w:rPr>
        <w:t>赎回费计入基金财产的比例见下表，未计入基金财产的部分用于支付登记费和其他必要的手续费。赎回费率随赎回基金份额持有期限的增加而递减，具体费率如下：</w:t>
      </w:r>
    </w:p>
    <w:p w14:paraId="4106DB8E" w14:textId="77777777" w:rsidR="00DD2567" w:rsidRDefault="00680E4C" w:rsidP="00DD2567">
      <w:pPr>
        <w:snapToGrid w:val="0"/>
        <w:spacing w:line="360" w:lineRule="auto"/>
        <w:ind w:firstLineChars="200" w:firstLine="480"/>
        <w:jc w:val="center"/>
        <w:rPr>
          <w:rFonts w:ascii="宋体" w:hAnsi="宋体"/>
          <w:color w:val="000000"/>
          <w:sz w:val="24"/>
        </w:rPr>
      </w:pPr>
      <w:r>
        <w:rPr>
          <w:rFonts w:ascii="宋体" w:hAnsi="宋体" w:hint="eastAsia"/>
          <w:color w:val="000000"/>
          <w:sz w:val="24"/>
        </w:rPr>
        <w:t>基金的赎回费率结构</w:t>
      </w:r>
    </w:p>
    <w:tbl>
      <w:tblPr>
        <w:tblW w:w="69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3"/>
        <w:gridCol w:w="2131"/>
        <w:gridCol w:w="2551"/>
      </w:tblGrid>
      <w:tr w:rsidR="00DD2567" w14:paraId="592F7D61" w14:textId="77777777" w:rsidTr="00725F28">
        <w:trPr>
          <w:trHeight w:hRule="exact" w:val="392"/>
          <w:jc w:val="center"/>
        </w:trPr>
        <w:tc>
          <w:tcPr>
            <w:tcW w:w="2273" w:type="dxa"/>
            <w:vAlign w:val="center"/>
          </w:tcPr>
          <w:p w14:paraId="3F21A184" w14:textId="77777777" w:rsidR="00DD2567" w:rsidRDefault="00680E4C" w:rsidP="00725F28">
            <w:pPr>
              <w:spacing w:line="360" w:lineRule="auto"/>
              <w:ind w:firstLineChars="12" w:firstLine="29"/>
              <w:jc w:val="left"/>
              <w:rPr>
                <w:rFonts w:ascii="宋体" w:hAnsi="宋体"/>
                <w:sz w:val="24"/>
              </w:rPr>
            </w:pPr>
            <w:r>
              <w:rPr>
                <w:rFonts w:ascii="宋体" w:hAnsi="宋体" w:hint="eastAsia"/>
                <w:sz w:val="24"/>
              </w:rPr>
              <w:t>持有期限（Y）</w:t>
            </w:r>
          </w:p>
        </w:tc>
        <w:tc>
          <w:tcPr>
            <w:tcW w:w="2131" w:type="dxa"/>
            <w:vAlign w:val="center"/>
          </w:tcPr>
          <w:p w14:paraId="083E1102" w14:textId="77777777" w:rsidR="00DD2567" w:rsidRDefault="00680E4C">
            <w:pPr>
              <w:spacing w:line="360" w:lineRule="auto"/>
              <w:jc w:val="center"/>
              <w:rPr>
                <w:rFonts w:ascii="宋体" w:hAnsi="宋体"/>
                <w:sz w:val="24"/>
                <w:szCs w:val="24"/>
              </w:rPr>
            </w:pPr>
            <w:r>
              <w:rPr>
                <w:rFonts w:ascii="宋体" w:hAnsi="宋体" w:hint="eastAsia"/>
                <w:sz w:val="24"/>
                <w:szCs w:val="24"/>
              </w:rPr>
              <w:t>赎回费率</w:t>
            </w:r>
          </w:p>
        </w:tc>
        <w:tc>
          <w:tcPr>
            <w:tcW w:w="2551" w:type="dxa"/>
          </w:tcPr>
          <w:p w14:paraId="501F3B37" w14:textId="77777777" w:rsidR="00DD2567" w:rsidRDefault="00680E4C">
            <w:pPr>
              <w:spacing w:line="360" w:lineRule="auto"/>
              <w:jc w:val="center"/>
              <w:rPr>
                <w:rFonts w:ascii="宋体" w:hAnsi="宋体"/>
                <w:sz w:val="24"/>
                <w:szCs w:val="24"/>
              </w:rPr>
            </w:pPr>
            <w:r>
              <w:rPr>
                <w:rFonts w:ascii="宋体" w:hAnsi="宋体" w:hint="eastAsia"/>
                <w:sz w:val="24"/>
                <w:szCs w:val="24"/>
              </w:rPr>
              <w:t>计入基金财产比例</w:t>
            </w:r>
          </w:p>
        </w:tc>
      </w:tr>
      <w:tr w:rsidR="00DD2567" w14:paraId="3F75DDA6" w14:textId="77777777" w:rsidTr="00725F28">
        <w:trPr>
          <w:trHeight w:hRule="exact" w:val="392"/>
          <w:jc w:val="center"/>
        </w:trPr>
        <w:tc>
          <w:tcPr>
            <w:tcW w:w="2273" w:type="dxa"/>
            <w:vAlign w:val="center"/>
          </w:tcPr>
          <w:p w14:paraId="0DE9C842" w14:textId="77777777" w:rsidR="00DD2567" w:rsidRDefault="00680E4C" w:rsidP="00725F28">
            <w:pPr>
              <w:spacing w:line="360" w:lineRule="auto"/>
              <w:ind w:firstLineChars="12" w:firstLine="29"/>
              <w:jc w:val="left"/>
              <w:rPr>
                <w:rFonts w:ascii="宋体" w:hAnsi="宋体"/>
                <w:sz w:val="24"/>
              </w:rPr>
            </w:pPr>
            <w:r>
              <w:rPr>
                <w:rFonts w:ascii="宋体" w:hAnsi="宋体"/>
                <w:sz w:val="24"/>
              </w:rPr>
              <w:t>Y＜</w:t>
            </w:r>
            <w:r>
              <w:rPr>
                <w:rFonts w:ascii="宋体" w:hAnsi="宋体" w:hint="eastAsia"/>
                <w:sz w:val="24"/>
              </w:rPr>
              <w:t>7日</w:t>
            </w:r>
            <w:r>
              <w:rPr>
                <w:rFonts w:ascii="宋体" w:hAnsi="宋体"/>
                <w:sz w:val="24"/>
              </w:rPr>
              <w:t xml:space="preserve"> </w:t>
            </w:r>
          </w:p>
        </w:tc>
        <w:tc>
          <w:tcPr>
            <w:tcW w:w="2131" w:type="dxa"/>
            <w:vAlign w:val="center"/>
          </w:tcPr>
          <w:p w14:paraId="5CB45388" w14:textId="77777777" w:rsidR="00DD2567" w:rsidRDefault="00680E4C">
            <w:pPr>
              <w:spacing w:line="360" w:lineRule="auto"/>
              <w:jc w:val="center"/>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0</w:t>
            </w:r>
            <w:r>
              <w:rPr>
                <w:rFonts w:ascii="宋体" w:hAnsi="宋体"/>
                <w:sz w:val="24"/>
              </w:rPr>
              <w:t>%</w:t>
            </w:r>
          </w:p>
        </w:tc>
        <w:tc>
          <w:tcPr>
            <w:tcW w:w="2551" w:type="dxa"/>
          </w:tcPr>
          <w:p w14:paraId="0CF57428" w14:textId="77777777" w:rsidR="00DD2567" w:rsidRDefault="00680E4C">
            <w:pPr>
              <w:spacing w:line="360" w:lineRule="auto"/>
              <w:jc w:val="center"/>
              <w:rPr>
                <w:rFonts w:ascii="宋体" w:hAnsi="宋体"/>
                <w:sz w:val="24"/>
              </w:rPr>
            </w:pPr>
            <w:r>
              <w:rPr>
                <w:rFonts w:ascii="宋体" w:hAnsi="宋体" w:hint="eastAsia"/>
                <w:sz w:val="24"/>
              </w:rPr>
              <w:t>100%</w:t>
            </w:r>
          </w:p>
        </w:tc>
      </w:tr>
      <w:tr w:rsidR="00DD2567" w14:paraId="6DF8A3F7" w14:textId="77777777" w:rsidTr="00725F28">
        <w:trPr>
          <w:trHeight w:hRule="exact" w:val="392"/>
          <w:jc w:val="center"/>
        </w:trPr>
        <w:tc>
          <w:tcPr>
            <w:tcW w:w="2273" w:type="dxa"/>
            <w:vAlign w:val="center"/>
          </w:tcPr>
          <w:p w14:paraId="27C50F35" w14:textId="77777777" w:rsidR="00DD2567" w:rsidRDefault="00680E4C" w:rsidP="00725F28">
            <w:pPr>
              <w:spacing w:line="360" w:lineRule="auto"/>
              <w:ind w:firstLineChars="12" w:firstLine="29"/>
              <w:jc w:val="left"/>
              <w:rPr>
                <w:rFonts w:ascii="宋体" w:hAnsi="宋体"/>
                <w:sz w:val="24"/>
              </w:rPr>
            </w:pPr>
            <w:r>
              <w:rPr>
                <w:rFonts w:ascii="宋体" w:hAnsi="宋体" w:hint="eastAsia"/>
                <w:sz w:val="24"/>
              </w:rPr>
              <w:lastRenderedPageBreak/>
              <w:t>7日</w:t>
            </w:r>
            <w:r>
              <w:rPr>
                <w:rFonts w:ascii="宋体" w:hAnsi="宋体"/>
                <w:sz w:val="24"/>
              </w:rPr>
              <w:t>≤Y＜</w:t>
            </w:r>
            <w:r>
              <w:rPr>
                <w:rFonts w:ascii="宋体" w:hAnsi="宋体" w:hint="eastAsia"/>
                <w:sz w:val="24"/>
              </w:rPr>
              <w:t>30日</w:t>
            </w:r>
          </w:p>
        </w:tc>
        <w:tc>
          <w:tcPr>
            <w:tcW w:w="2131" w:type="dxa"/>
            <w:vAlign w:val="center"/>
          </w:tcPr>
          <w:p w14:paraId="4DE53F4B" w14:textId="77777777" w:rsidR="00DD2567" w:rsidRDefault="00680E4C">
            <w:pPr>
              <w:spacing w:line="360" w:lineRule="auto"/>
              <w:jc w:val="center"/>
              <w:rPr>
                <w:rFonts w:ascii="宋体" w:hAnsi="宋体"/>
                <w:sz w:val="24"/>
              </w:rPr>
            </w:pPr>
            <w:r>
              <w:rPr>
                <w:rFonts w:ascii="宋体" w:hAnsi="宋体"/>
                <w:sz w:val="24"/>
              </w:rPr>
              <w:t>0.</w:t>
            </w:r>
            <w:r>
              <w:rPr>
                <w:rFonts w:ascii="宋体" w:hAnsi="宋体" w:hint="eastAsia"/>
                <w:sz w:val="24"/>
              </w:rPr>
              <w:t>7</w:t>
            </w:r>
            <w:r>
              <w:rPr>
                <w:rFonts w:ascii="宋体" w:hAnsi="宋体"/>
                <w:sz w:val="24"/>
              </w:rPr>
              <w:t>5%</w:t>
            </w:r>
          </w:p>
        </w:tc>
        <w:tc>
          <w:tcPr>
            <w:tcW w:w="2551" w:type="dxa"/>
          </w:tcPr>
          <w:p w14:paraId="6EB9EE52" w14:textId="77777777" w:rsidR="00DD2567" w:rsidRDefault="00680E4C">
            <w:pPr>
              <w:spacing w:line="360" w:lineRule="auto"/>
              <w:jc w:val="center"/>
              <w:rPr>
                <w:rFonts w:ascii="宋体" w:hAnsi="宋体"/>
                <w:sz w:val="24"/>
              </w:rPr>
            </w:pPr>
            <w:r>
              <w:rPr>
                <w:rFonts w:ascii="宋体" w:hAnsi="宋体" w:hint="eastAsia"/>
                <w:sz w:val="24"/>
              </w:rPr>
              <w:t>100%</w:t>
            </w:r>
          </w:p>
        </w:tc>
      </w:tr>
      <w:tr w:rsidR="00DD2567" w14:paraId="0F03351A" w14:textId="77777777" w:rsidTr="00725F28">
        <w:trPr>
          <w:trHeight w:hRule="exact" w:val="392"/>
          <w:jc w:val="center"/>
        </w:trPr>
        <w:tc>
          <w:tcPr>
            <w:tcW w:w="2273" w:type="dxa"/>
            <w:vAlign w:val="center"/>
          </w:tcPr>
          <w:p w14:paraId="76B73563" w14:textId="07048B74" w:rsidR="00DD2567" w:rsidRDefault="00680E4C" w:rsidP="00725F28">
            <w:pPr>
              <w:spacing w:line="360" w:lineRule="auto"/>
              <w:ind w:firstLineChars="12" w:firstLine="29"/>
              <w:jc w:val="left"/>
              <w:rPr>
                <w:rFonts w:ascii="宋体" w:hAnsi="宋体"/>
                <w:sz w:val="24"/>
              </w:rPr>
            </w:pPr>
            <w:r>
              <w:rPr>
                <w:rFonts w:ascii="宋体" w:hAnsi="宋体" w:hint="eastAsia"/>
                <w:sz w:val="24"/>
              </w:rPr>
              <w:t>30日≤</w:t>
            </w:r>
            <w:r>
              <w:rPr>
                <w:rFonts w:ascii="宋体" w:hAnsi="宋体"/>
                <w:sz w:val="24"/>
              </w:rPr>
              <w:t>Y</w:t>
            </w:r>
            <w:r>
              <w:rPr>
                <w:rFonts w:ascii="宋体" w:hAnsi="宋体" w:hint="eastAsia"/>
                <w:sz w:val="24"/>
              </w:rPr>
              <w:t>＜</w:t>
            </w:r>
            <w:r w:rsidR="00592FCE">
              <w:rPr>
                <w:rFonts w:ascii="宋体" w:hAnsi="宋体" w:hint="eastAsia"/>
                <w:sz w:val="24"/>
              </w:rPr>
              <w:t>3个月</w:t>
            </w:r>
          </w:p>
        </w:tc>
        <w:tc>
          <w:tcPr>
            <w:tcW w:w="2131" w:type="dxa"/>
            <w:tcBorders>
              <w:bottom w:val="single" w:sz="4" w:space="0" w:color="auto"/>
            </w:tcBorders>
            <w:vAlign w:val="center"/>
          </w:tcPr>
          <w:p w14:paraId="6D87FE23" w14:textId="77777777" w:rsidR="00DD2567" w:rsidRDefault="00680E4C">
            <w:pPr>
              <w:spacing w:line="360" w:lineRule="auto"/>
              <w:jc w:val="center"/>
              <w:rPr>
                <w:rFonts w:ascii="宋体" w:hAnsi="宋体"/>
                <w:sz w:val="24"/>
              </w:rPr>
            </w:pPr>
            <w:r>
              <w:rPr>
                <w:rFonts w:ascii="宋体" w:hAnsi="宋体"/>
                <w:sz w:val="24"/>
              </w:rPr>
              <w:t>0</w:t>
            </w:r>
            <w:r>
              <w:rPr>
                <w:rFonts w:ascii="宋体" w:hAnsi="宋体" w:hint="eastAsia"/>
                <w:sz w:val="24"/>
              </w:rPr>
              <w:t>.50%</w:t>
            </w:r>
          </w:p>
        </w:tc>
        <w:tc>
          <w:tcPr>
            <w:tcW w:w="2551" w:type="dxa"/>
            <w:tcBorders>
              <w:bottom w:val="single" w:sz="4" w:space="0" w:color="auto"/>
            </w:tcBorders>
          </w:tcPr>
          <w:p w14:paraId="152D8991" w14:textId="77777777" w:rsidR="00DD2567" w:rsidRDefault="00680E4C">
            <w:pPr>
              <w:spacing w:line="360" w:lineRule="auto"/>
              <w:jc w:val="center"/>
              <w:rPr>
                <w:rFonts w:ascii="宋体" w:hAnsi="宋体"/>
                <w:sz w:val="24"/>
              </w:rPr>
            </w:pPr>
            <w:r>
              <w:rPr>
                <w:rFonts w:ascii="宋体" w:hAnsi="宋体" w:hint="eastAsia"/>
                <w:sz w:val="24"/>
              </w:rPr>
              <w:t>75%</w:t>
            </w:r>
          </w:p>
        </w:tc>
      </w:tr>
      <w:tr w:rsidR="00DD2567" w14:paraId="783BA221" w14:textId="77777777" w:rsidTr="00725F28">
        <w:trPr>
          <w:trHeight w:hRule="exact" w:val="392"/>
          <w:jc w:val="center"/>
        </w:trPr>
        <w:tc>
          <w:tcPr>
            <w:tcW w:w="2273" w:type="dxa"/>
            <w:vAlign w:val="center"/>
          </w:tcPr>
          <w:p w14:paraId="0918ED7B" w14:textId="01569AD7" w:rsidR="00DD2567" w:rsidRDefault="00592FCE" w:rsidP="00725F28">
            <w:pPr>
              <w:spacing w:line="360" w:lineRule="auto"/>
              <w:ind w:firstLineChars="12" w:firstLine="29"/>
              <w:jc w:val="left"/>
              <w:rPr>
                <w:rFonts w:ascii="宋体" w:hAnsi="宋体"/>
                <w:sz w:val="24"/>
              </w:rPr>
            </w:pPr>
            <w:r>
              <w:rPr>
                <w:rFonts w:ascii="宋体" w:hAnsi="宋体" w:hint="eastAsia"/>
                <w:sz w:val="24"/>
              </w:rPr>
              <w:t>3个月</w:t>
            </w:r>
            <w:r w:rsidR="00680E4C">
              <w:rPr>
                <w:rFonts w:ascii="宋体" w:hAnsi="宋体" w:hint="eastAsia"/>
                <w:sz w:val="24"/>
              </w:rPr>
              <w:t>≤Y＜</w:t>
            </w:r>
            <w:r>
              <w:rPr>
                <w:rFonts w:ascii="宋体" w:hAnsi="宋体" w:hint="eastAsia"/>
                <w:sz w:val="24"/>
              </w:rPr>
              <w:t>6个月</w:t>
            </w:r>
          </w:p>
        </w:tc>
        <w:tc>
          <w:tcPr>
            <w:tcW w:w="2131" w:type="dxa"/>
            <w:tcBorders>
              <w:bottom w:val="single" w:sz="4" w:space="0" w:color="auto"/>
            </w:tcBorders>
            <w:vAlign w:val="center"/>
          </w:tcPr>
          <w:p w14:paraId="1C5B42A8" w14:textId="727ED017" w:rsidR="00DD2567" w:rsidRDefault="00680E4C">
            <w:pPr>
              <w:spacing w:line="360" w:lineRule="auto"/>
              <w:jc w:val="center"/>
              <w:rPr>
                <w:rFonts w:ascii="宋体" w:hAnsi="宋体"/>
                <w:sz w:val="24"/>
              </w:rPr>
            </w:pPr>
            <w:r>
              <w:rPr>
                <w:rFonts w:ascii="宋体" w:hAnsi="宋体" w:hint="eastAsia"/>
                <w:sz w:val="24"/>
              </w:rPr>
              <w:t>0.</w:t>
            </w:r>
            <w:r w:rsidR="00592FCE">
              <w:rPr>
                <w:rFonts w:ascii="宋体" w:hAnsi="宋体" w:hint="eastAsia"/>
                <w:sz w:val="24"/>
              </w:rPr>
              <w:t>5</w:t>
            </w:r>
            <w:r>
              <w:rPr>
                <w:rFonts w:ascii="宋体" w:hAnsi="宋体" w:hint="eastAsia"/>
                <w:sz w:val="24"/>
              </w:rPr>
              <w:t>0%</w:t>
            </w:r>
          </w:p>
        </w:tc>
        <w:tc>
          <w:tcPr>
            <w:tcW w:w="2551" w:type="dxa"/>
            <w:tcBorders>
              <w:bottom w:val="single" w:sz="4" w:space="0" w:color="auto"/>
            </w:tcBorders>
          </w:tcPr>
          <w:p w14:paraId="7418D8A2" w14:textId="06020616" w:rsidR="00DD2567" w:rsidRDefault="00592FCE">
            <w:pPr>
              <w:spacing w:line="360" w:lineRule="auto"/>
              <w:jc w:val="center"/>
              <w:rPr>
                <w:rFonts w:ascii="宋体" w:hAnsi="宋体"/>
                <w:sz w:val="24"/>
              </w:rPr>
            </w:pPr>
            <w:r>
              <w:rPr>
                <w:rFonts w:ascii="宋体" w:hAnsi="宋体" w:hint="eastAsia"/>
                <w:sz w:val="24"/>
              </w:rPr>
              <w:t>50</w:t>
            </w:r>
            <w:r w:rsidR="00680E4C">
              <w:rPr>
                <w:rFonts w:ascii="宋体" w:hAnsi="宋体" w:hint="eastAsia"/>
                <w:sz w:val="24"/>
              </w:rPr>
              <w:t>%</w:t>
            </w:r>
          </w:p>
        </w:tc>
      </w:tr>
      <w:tr w:rsidR="00DD2567" w14:paraId="7EC7E8C9" w14:textId="77777777" w:rsidTr="00725F28">
        <w:trPr>
          <w:trHeight w:hRule="exact" w:val="392"/>
          <w:jc w:val="center"/>
        </w:trPr>
        <w:tc>
          <w:tcPr>
            <w:tcW w:w="2273" w:type="dxa"/>
            <w:vAlign w:val="center"/>
          </w:tcPr>
          <w:p w14:paraId="22C7BFC1" w14:textId="7DA53F18" w:rsidR="00DD2567" w:rsidRDefault="00680E4C" w:rsidP="00725F28">
            <w:pPr>
              <w:spacing w:line="360" w:lineRule="auto"/>
              <w:ind w:firstLineChars="12" w:firstLine="29"/>
              <w:jc w:val="left"/>
              <w:rPr>
                <w:rFonts w:ascii="宋体" w:hAnsi="宋体"/>
                <w:sz w:val="24"/>
              </w:rPr>
            </w:pPr>
            <w:r>
              <w:rPr>
                <w:rFonts w:ascii="宋体" w:hAnsi="宋体" w:hint="eastAsia"/>
                <w:sz w:val="24"/>
              </w:rPr>
              <w:t>Y≥</w:t>
            </w:r>
            <w:r w:rsidR="00592FCE">
              <w:rPr>
                <w:rFonts w:ascii="宋体" w:hAnsi="宋体" w:hint="eastAsia"/>
                <w:sz w:val="24"/>
              </w:rPr>
              <w:t>6个月</w:t>
            </w:r>
          </w:p>
        </w:tc>
        <w:tc>
          <w:tcPr>
            <w:tcW w:w="2131" w:type="dxa"/>
            <w:tcBorders>
              <w:bottom w:val="single" w:sz="4" w:space="0" w:color="auto"/>
            </w:tcBorders>
            <w:vAlign w:val="center"/>
          </w:tcPr>
          <w:p w14:paraId="64141B04" w14:textId="77777777" w:rsidR="00DD2567" w:rsidRDefault="00680E4C">
            <w:pPr>
              <w:spacing w:line="360" w:lineRule="auto"/>
              <w:jc w:val="center"/>
              <w:rPr>
                <w:rFonts w:ascii="宋体" w:hAnsi="宋体"/>
                <w:sz w:val="24"/>
              </w:rPr>
            </w:pPr>
            <w:r>
              <w:rPr>
                <w:rFonts w:ascii="宋体" w:hAnsi="宋体" w:hint="eastAsia"/>
                <w:sz w:val="24"/>
              </w:rPr>
              <w:t>0</w:t>
            </w:r>
          </w:p>
        </w:tc>
        <w:tc>
          <w:tcPr>
            <w:tcW w:w="2551" w:type="dxa"/>
            <w:tcBorders>
              <w:bottom w:val="single" w:sz="4" w:space="0" w:color="auto"/>
            </w:tcBorders>
          </w:tcPr>
          <w:p w14:paraId="725D425D" w14:textId="77777777" w:rsidR="00DD2567" w:rsidRDefault="00680E4C">
            <w:pPr>
              <w:spacing w:line="360" w:lineRule="auto"/>
              <w:jc w:val="center"/>
              <w:rPr>
                <w:rFonts w:ascii="宋体" w:hAnsi="宋体"/>
                <w:sz w:val="24"/>
              </w:rPr>
            </w:pPr>
            <w:r>
              <w:rPr>
                <w:rFonts w:ascii="宋体" w:hAnsi="宋体" w:hint="eastAsia"/>
                <w:sz w:val="24"/>
              </w:rPr>
              <w:t>—</w:t>
            </w:r>
          </w:p>
        </w:tc>
      </w:tr>
    </w:tbl>
    <w:p w14:paraId="563A62BA" w14:textId="32A686B1" w:rsidR="00DD2567" w:rsidRDefault="00680E4C">
      <w:pPr>
        <w:spacing w:line="360" w:lineRule="auto"/>
        <w:ind w:firstLineChars="200" w:firstLine="480"/>
        <w:rPr>
          <w:rFonts w:ascii="宋体" w:hAnsi="宋体"/>
          <w:color w:val="000000"/>
          <w:sz w:val="24"/>
        </w:rPr>
      </w:pPr>
      <w:r>
        <w:rPr>
          <w:rFonts w:ascii="宋体" w:hAnsi="宋体" w:hint="eastAsia"/>
          <w:sz w:val="24"/>
        </w:rPr>
        <w:t>（注：Y：持有期限，其中1</w:t>
      </w:r>
      <w:r w:rsidR="00592FCE">
        <w:rPr>
          <w:rFonts w:ascii="宋体" w:hAnsi="宋体" w:hint="eastAsia"/>
          <w:sz w:val="24"/>
        </w:rPr>
        <w:t>个月为30日</w:t>
      </w:r>
      <w:r>
        <w:rPr>
          <w:rFonts w:ascii="宋体" w:hAnsi="宋体" w:hint="eastAsia"/>
          <w:sz w:val="24"/>
        </w:rPr>
        <w:t>）</w:t>
      </w:r>
    </w:p>
    <w:p w14:paraId="18EA4F3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 xml:space="preserve">七、申购份额与赎回金额的处理方式及计算 </w:t>
      </w:r>
    </w:p>
    <w:p w14:paraId="6FEDBC0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1、本基金申购份额的计算</w:t>
      </w:r>
    </w:p>
    <w:p w14:paraId="0E54657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本基金的申购金额包括申购费用和净申购金额，申购价格以申购当日（T日）的基金份额净值为基准进行计算。其中：</w:t>
      </w:r>
    </w:p>
    <w:p w14:paraId="56C4595F"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净申购金额=申购金额/（1+申购费率）</w:t>
      </w:r>
    </w:p>
    <w:p w14:paraId="45A569A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申购费用=申购金额－净申购金额</w:t>
      </w:r>
    </w:p>
    <w:p w14:paraId="75D2105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申购份额=净申购金额/T日基金份额净值</w:t>
      </w:r>
    </w:p>
    <w:p w14:paraId="16C9C50E" w14:textId="77777777" w:rsidR="00DD2567" w:rsidRDefault="00680E4C">
      <w:pPr>
        <w:snapToGrid w:val="0"/>
        <w:spacing w:line="360" w:lineRule="auto"/>
        <w:ind w:firstLineChars="200" w:firstLine="480"/>
        <w:rPr>
          <w:rFonts w:ascii="宋体" w:hAnsi="宋体" w:cs="Arial"/>
          <w:sz w:val="24"/>
        </w:rPr>
      </w:pPr>
      <w:r>
        <w:rPr>
          <w:rFonts w:ascii="宋体" w:hAnsi="宋体" w:cs="Arial" w:hint="eastAsia"/>
          <w:sz w:val="24"/>
        </w:rPr>
        <w:t>对于</w:t>
      </w:r>
      <w:r>
        <w:rPr>
          <w:rFonts w:ascii="宋体" w:hAnsi="宋体" w:hint="eastAsia"/>
          <w:color w:val="000000"/>
          <w:sz w:val="24"/>
        </w:rPr>
        <w:t>适用固定金额申购费用的申购</w:t>
      </w:r>
      <w:r>
        <w:rPr>
          <w:rFonts w:ascii="宋体" w:hAnsi="宋体" w:cs="Arial" w:hint="eastAsia"/>
          <w:sz w:val="24"/>
        </w:rPr>
        <w:t>，净申购金额</w:t>
      </w:r>
      <w:r>
        <w:rPr>
          <w:rFonts w:ascii="宋体" w:hAnsi="宋体" w:cs="Arial"/>
          <w:sz w:val="24"/>
        </w:rPr>
        <w:t>=</w:t>
      </w:r>
      <w:r>
        <w:rPr>
          <w:rFonts w:ascii="宋体" w:hAnsi="宋体" w:cs="Arial" w:hint="eastAsia"/>
          <w:sz w:val="24"/>
        </w:rPr>
        <w:t>申购金额</w:t>
      </w:r>
      <w:r>
        <w:rPr>
          <w:rFonts w:ascii="宋体" w:hAnsi="宋体" w:cs="Arial"/>
          <w:sz w:val="24"/>
        </w:rPr>
        <w:t>-</w:t>
      </w:r>
      <w:r>
        <w:rPr>
          <w:rFonts w:ascii="宋体" w:hAnsi="宋体" w:cs="Arial" w:hint="eastAsia"/>
          <w:sz w:val="24"/>
        </w:rPr>
        <w:t>固定申购费</w:t>
      </w:r>
      <w:r>
        <w:rPr>
          <w:rFonts w:ascii="宋体" w:hAnsi="宋体" w:hint="eastAsia"/>
          <w:color w:val="000000"/>
          <w:sz w:val="24"/>
        </w:rPr>
        <w:t>用</w:t>
      </w:r>
      <w:r>
        <w:rPr>
          <w:rFonts w:ascii="宋体" w:hAnsi="宋体" w:cs="Arial" w:hint="eastAsia"/>
          <w:sz w:val="24"/>
        </w:rPr>
        <w:t>金额</w:t>
      </w:r>
    </w:p>
    <w:p w14:paraId="55996FD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申购费用＝固定申购费用金额</w:t>
      </w:r>
    </w:p>
    <w:p w14:paraId="7A648F6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申购份额=净申购金额/T日基金份额净值</w:t>
      </w:r>
    </w:p>
    <w:p w14:paraId="7EDF404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申购费用以人民币元为单位，计算结果按照四舍五入方法，保留至小数点后两位；申购份额计算结果按照四舍五入方法，保留到小数点后两位，由此误差产生的损失由基金财产承担，产生的收益归基金财产所有。</w:t>
      </w:r>
    </w:p>
    <w:p w14:paraId="55B100F6"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例：假定T日的基金份额净值为1.230元。四笔申购金额分别为1万元、100万元、200万元和1000万元，则各笔申购负担的申购费用和获得的基金份额计算如下：</w:t>
      </w:r>
    </w:p>
    <w:tbl>
      <w:tblPr>
        <w:tblW w:w="8769" w:type="dxa"/>
        <w:jc w:val="center"/>
        <w:tblBorders>
          <w:top w:val="single" w:sz="12" w:space="0" w:color="auto"/>
          <w:bottom w:val="single" w:sz="12" w:space="0" w:color="auto"/>
          <w:insideH w:val="dashSmallGap" w:sz="4" w:space="0" w:color="auto"/>
          <w:insideV w:val="dashSmallGap" w:sz="4" w:space="0" w:color="auto"/>
        </w:tblBorders>
        <w:tblLayout w:type="fixed"/>
        <w:tblCellMar>
          <w:left w:w="30" w:type="dxa"/>
          <w:right w:w="30" w:type="dxa"/>
        </w:tblCellMar>
        <w:tblLook w:val="04A0" w:firstRow="1" w:lastRow="0" w:firstColumn="1" w:lastColumn="0" w:noHBand="0" w:noVBand="1"/>
      </w:tblPr>
      <w:tblGrid>
        <w:gridCol w:w="2868"/>
        <w:gridCol w:w="1281"/>
        <w:gridCol w:w="1500"/>
        <w:gridCol w:w="1500"/>
        <w:gridCol w:w="1620"/>
      </w:tblGrid>
      <w:tr w:rsidR="00DD2567" w14:paraId="7A29677B" w14:textId="77777777">
        <w:trPr>
          <w:trHeight w:val="293"/>
          <w:jc w:val="center"/>
        </w:trPr>
        <w:tc>
          <w:tcPr>
            <w:tcW w:w="2868" w:type="dxa"/>
            <w:tcBorders>
              <w:top w:val="single" w:sz="12" w:space="0" w:color="auto"/>
              <w:bottom w:val="single" w:sz="12" w:space="0" w:color="auto"/>
            </w:tcBorders>
            <w:vAlign w:val="center"/>
          </w:tcPr>
          <w:p w14:paraId="027EC73F" w14:textId="77777777" w:rsidR="00DD2567" w:rsidRDefault="00DD2567">
            <w:pPr>
              <w:autoSpaceDE w:val="0"/>
              <w:autoSpaceDN w:val="0"/>
              <w:adjustRightInd w:val="0"/>
              <w:spacing w:line="360" w:lineRule="auto"/>
              <w:rPr>
                <w:rFonts w:ascii="宋体" w:hAnsi="宋体"/>
                <w:sz w:val="24"/>
              </w:rPr>
            </w:pPr>
          </w:p>
        </w:tc>
        <w:tc>
          <w:tcPr>
            <w:tcW w:w="1281" w:type="dxa"/>
            <w:tcBorders>
              <w:top w:val="single" w:sz="12" w:space="0" w:color="auto"/>
              <w:bottom w:val="single" w:sz="12" w:space="0" w:color="auto"/>
            </w:tcBorders>
            <w:vAlign w:val="center"/>
          </w:tcPr>
          <w:p w14:paraId="54AE6240"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申购1</w:t>
            </w:r>
          </w:p>
        </w:tc>
        <w:tc>
          <w:tcPr>
            <w:tcW w:w="1500" w:type="dxa"/>
            <w:tcBorders>
              <w:top w:val="single" w:sz="12" w:space="0" w:color="auto"/>
              <w:bottom w:val="single" w:sz="12" w:space="0" w:color="auto"/>
            </w:tcBorders>
            <w:vAlign w:val="center"/>
          </w:tcPr>
          <w:p w14:paraId="40FC0B17"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申购2</w:t>
            </w:r>
          </w:p>
        </w:tc>
        <w:tc>
          <w:tcPr>
            <w:tcW w:w="1500" w:type="dxa"/>
            <w:tcBorders>
              <w:top w:val="single" w:sz="12" w:space="0" w:color="auto"/>
              <w:bottom w:val="single" w:sz="12" w:space="0" w:color="auto"/>
            </w:tcBorders>
            <w:vAlign w:val="center"/>
          </w:tcPr>
          <w:p w14:paraId="20425A08"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申购3</w:t>
            </w:r>
          </w:p>
        </w:tc>
        <w:tc>
          <w:tcPr>
            <w:tcW w:w="1620" w:type="dxa"/>
            <w:tcBorders>
              <w:top w:val="single" w:sz="12" w:space="0" w:color="auto"/>
              <w:bottom w:val="single" w:sz="12" w:space="0" w:color="auto"/>
            </w:tcBorders>
          </w:tcPr>
          <w:p w14:paraId="2C84B53B"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申购4</w:t>
            </w:r>
          </w:p>
        </w:tc>
      </w:tr>
      <w:tr w:rsidR="00DD2567" w14:paraId="1B387D5D" w14:textId="77777777">
        <w:trPr>
          <w:trHeight w:val="293"/>
          <w:jc w:val="center"/>
        </w:trPr>
        <w:tc>
          <w:tcPr>
            <w:tcW w:w="2868" w:type="dxa"/>
            <w:tcBorders>
              <w:top w:val="single" w:sz="12" w:space="0" w:color="auto"/>
            </w:tcBorders>
            <w:vAlign w:val="center"/>
          </w:tcPr>
          <w:p w14:paraId="2173CBBA" w14:textId="77777777" w:rsidR="00DD2567" w:rsidRDefault="00680E4C">
            <w:pPr>
              <w:autoSpaceDE w:val="0"/>
              <w:autoSpaceDN w:val="0"/>
              <w:adjustRightInd w:val="0"/>
              <w:spacing w:line="360" w:lineRule="auto"/>
              <w:rPr>
                <w:rFonts w:ascii="宋体" w:hAnsi="宋体"/>
                <w:sz w:val="24"/>
              </w:rPr>
            </w:pPr>
            <w:r>
              <w:rPr>
                <w:rFonts w:ascii="宋体" w:hAnsi="宋体"/>
                <w:sz w:val="24"/>
              </w:rPr>
              <w:t>申购金额（元，a）</w:t>
            </w:r>
          </w:p>
        </w:tc>
        <w:tc>
          <w:tcPr>
            <w:tcW w:w="1281" w:type="dxa"/>
            <w:tcBorders>
              <w:top w:val="single" w:sz="12" w:space="0" w:color="auto"/>
            </w:tcBorders>
            <w:vAlign w:val="center"/>
          </w:tcPr>
          <w:p w14:paraId="725B63BA"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10,000.00</w:t>
            </w:r>
          </w:p>
        </w:tc>
        <w:tc>
          <w:tcPr>
            <w:tcW w:w="1500" w:type="dxa"/>
            <w:tcBorders>
              <w:top w:val="single" w:sz="12" w:space="0" w:color="auto"/>
            </w:tcBorders>
            <w:vAlign w:val="center"/>
          </w:tcPr>
          <w:p w14:paraId="370DC983"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1,000,000.00</w:t>
            </w:r>
          </w:p>
        </w:tc>
        <w:tc>
          <w:tcPr>
            <w:tcW w:w="1500" w:type="dxa"/>
            <w:tcBorders>
              <w:top w:val="single" w:sz="12" w:space="0" w:color="auto"/>
            </w:tcBorders>
            <w:vAlign w:val="center"/>
          </w:tcPr>
          <w:p w14:paraId="26F872A5"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2,000,000.00</w:t>
            </w:r>
          </w:p>
        </w:tc>
        <w:tc>
          <w:tcPr>
            <w:tcW w:w="1620" w:type="dxa"/>
            <w:tcBorders>
              <w:top w:val="single" w:sz="12" w:space="0" w:color="auto"/>
            </w:tcBorders>
          </w:tcPr>
          <w:p w14:paraId="2452E56E"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10,000,000.00</w:t>
            </w:r>
          </w:p>
        </w:tc>
      </w:tr>
      <w:tr w:rsidR="00DD2567" w14:paraId="12292ECE" w14:textId="77777777">
        <w:trPr>
          <w:trHeight w:val="293"/>
          <w:jc w:val="center"/>
        </w:trPr>
        <w:tc>
          <w:tcPr>
            <w:tcW w:w="2868" w:type="dxa"/>
            <w:vAlign w:val="center"/>
          </w:tcPr>
          <w:p w14:paraId="612E0870" w14:textId="77777777" w:rsidR="00DD2567" w:rsidRDefault="00680E4C">
            <w:pPr>
              <w:autoSpaceDE w:val="0"/>
              <w:autoSpaceDN w:val="0"/>
              <w:adjustRightInd w:val="0"/>
              <w:spacing w:line="360" w:lineRule="auto"/>
              <w:rPr>
                <w:rFonts w:ascii="宋体" w:hAnsi="宋体"/>
                <w:sz w:val="24"/>
              </w:rPr>
            </w:pPr>
            <w:r>
              <w:rPr>
                <w:rFonts w:ascii="宋体" w:hAnsi="宋体"/>
                <w:sz w:val="24"/>
              </w:rPr>
              <w:t>适用申购费率（b）</w:t>
            </w:r>
          </w:p>
        </w:tc>
        <w:tc>
          <w:tcPr>
            <w:tcW w:w="1281" w:type="dxa"/>
            <w:vAlign w:val="center"/>
          </w:tcPr>
          <w:p w14:paraId="3E069E9C"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1.5%</w:t>
            </w:r>
          </w:p>
        </w:tc>
        <w:tc>
          <w:tcPr>
            <w:tcW w:w="1500" w:type="dxa"/>
            <w:vAlign w:val="center"/>
          </w:tcPr>
          <w:p w14:paraId="1EFF8C0F"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1.2%</w:t>
            </w:r>
          </w:p>
        </w:tc>
        <w:tc>
          <w:tcPr>
            <w:tcW w:w="1500" w:type="dxa"/>
            <w:vAlign w:val="center"/>
          </w:tcPr>
          <w:p w14:paraId="4CACD691"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0.8%</w:t>
            </w:r>
          </w:p>
        </w:tc>
        <w:tc>
          <w:tcPr>
            <w:tcW w:w="1620" w:type="dxa"/>
          </w:tcPr>
          <w:p w14:paraId="1DB05E95" w14:textId="77777777" w:rsidR="00DD2567" w:rsidRDefault="00680E4C">
            <w:pPr>
              <w:tabs>
                <w:tab w:val="left" w:pos="945"/>
                <w:tab w:val="right" w:leader="dot" w:pos="8296"/>
              </w:tabs>
              <w:autoSpaceDE w:val="0"/>
              <w:autoSpaceDN w:val="0"/>
              <w:adjustRightInd w:val="0"/>
              <w:spacing w:before="120" w:line="360" w:lineRule="auto"/>
              <w:jc w:val="right"/>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000元/笔</w:t>
            </w:r>
          </w:p>
        </w:tc>
      </w:tr>
      <w:tr w:rsidR="00DD2567" w14:paraId="4DBC4ECC" w14:textId="77777777">
        <w:trPr>
          <w:trHeight w:val="293"/>
          <w:jc w:val="center"/>
        </w:trPr>
        <w:tc>
          <w:tcPr>
            <w:tcW w:w="2868" w:type="dxa"/>
            <w:vAlign w:val="center"/>
          </w:tcPr>
          <w:p w14:paraId="50F562E9" w14:textId="77777777" w:rsidR="00DD2567" w:rsidRDefault="00680E4C">
            <w:pPr>
              <w:autoSpaceDE w:val="0"/>
              <w:autoSpaceDN w:val="0"/>
              <w:adjustRightInd w:val="0"/>
              <w:spacing w:line="360" w:lineRule="auto"/>
              <w:rPr>
                <w:rFonts w:ascii="宋体" w:hAnsi="宋体"/>
                <w:sz w:val="24"/>
              </w:rPr>
            </w:pPr>
            <w:r>
              <w:rPr>
                <w:rFonts w:ascii="宋体" w:hAnsi="宋体"/>
                <w:sz w:val="24"/>
              </w:rPr>
              <w:t>净申购金额（c=a/（1+b））</w:t>
            </w:r>
          </w:p>
        </w:tc>
        <w:tc>
          <w:tcPr>
            <w:tcW w:w="1281" w:type="dxa"/>
            <w:vAlign w:val="center"/>
          </w:tcPr>
          <w:p w14:paraId="70E068D2"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9,852.22</w:t>
            </w:r>
          </w:p>
        </w:tc>
        <w:tc>
          <w:tcPr>
            <w:tcW w:w="1500" w:type="dxa"/>
            <w:vAlign w:val="center"/>
          </w:tcPr>
          <w:p w14:paraId="6C223ADF" w14:textId="77777777" w:rsidR="00DD2567" w:rsidRDefault="00680E4C">
            <w:pPr>
              <w:autoSpaceDE w:val="0"/>
              <w:autoSpaceDN w:val="0"/>
              <w:adjustRightInd w:val="0"/>
              <w:spacing w:line="360" w:lineRule="auto"/>
              <w:jc w:val="right"/>
              <w:rPr>
                <w:rFonts w:ascii="宋体" w:hAnsi="宋体"/>
                <w:sz w:val="24"/>
              </w:rPr>
            </w:pPr>
            <w:r>
              <w:rPr>
                <w:rFonts w:ascii="宋体" w:hAnsi="宋体"/>
                <w:sz w:val="24"/>
              </w:rPr>
              <w:t>988,142.29</w:t>
            </w:r>
          </w:p>
        </w:tc>
        <w:tc>
          <w:tcPr>
            <w:tcW w:w="1500" w:type="dxa"/>
            <w:vAlign w:val="center"/>
          </w:tcPr>
          <w:p w14:paraId="78395D24" w14:textId="77777777" w:rsidR="00DD2567" w:rsidRDefault="00680E4C">
            <w:pPr>
              <w:spacing w:line="360" w:lineRule="auto"/>
              <w:jc w:val="right"/>
              <w:rPr>
                <w:rFonts w:ascii="宋体" w:hAnsi="宋体"/>
                <w:sz w:val="24"/>
              </w:rPr>
            </w:pPr>
            <w:r>
              <w:rPr>
                <w:rFonts w:ascii="宋体" w:hAnsi="宋体"/>
                <w:sz w:val="24"/>
              </w:rPr>
              <w:t>1,984,126.98</w:t>
            </w:r>
          </w:p>
        </w:tc>
        <w:tc>
          <w:tcPr>
            <w:tcW w:w="1620" w:type="dxa"/>
            <w:vAlign w:val="center"/>
          </w:tcPr>
          <w:p w14:paraId="4BB73014" w14:textId="77777777" w:rsidR="00DD2567" w:rsidRDefault="00680E4C">
            <w:pPr>
              <w:spacing w:line="360" w:lineRule="auto"/>
              <w:jc w:val="right"/>
              <w:rPr>
                <w:rFonts w:ascii="宋体" w:hAnsi="宋体"/>
                <w:sz w:val="24"/>
              </w:rPr>
            </w:pPr>
            <w:r>
              <w:rPr>
                <w:rFonts w:ascii="宋体" w:hAnsi="宋体"/>
                <w:sz w:val="24"/>
              </w:rPr>
              <w:t>9,999,000.00</w:t>
            </w:r>
          </w:p>
        </w:tc>
      </w:tr>
      <w:tr w:rsidR="00DD2567" w14:paraId="47CF077E" w14:textId="77777777">
        <w:trPr>
          <w:trHeight w:val="293"/>
          <w:jc w:val="center"/>
        </w:trPr>
        <w:tc>
          <w:tcPr>
            <w:tcW w:w="2868" w:type="dxa"/>
            <w:vAlign w:val="center"/>
          </w:tcPr>
          <w:p w14:paraId="4C27D8A7" w14:textId="77777777" w:rsidR="00DD2567" w:rsidRDefault="00680E4C">
            <w:pPr>
              <w:autoSpaceDE w:val="0"/>
              <w:autoSpaceDN w:val="0"/>
              <w:adjustRightInd w:val="0"/>
              <w:spacing w:line="360" w:lineRule="auto"/>
              <w:rPr>
                <w:rFonts w:ascii="宋体" w:hAnsi="宋体"/>
                <w:sz w:val="24"/>
              </w:rPr>
            </w:pPr>
            <w:r>
              <w:rPr>
                <w:rFonts w:ascii="宋体" w:hAnsi="宋体"/>
                <w:sz w:val="24"/>
              </w:rPr>
              <w:t>申购费（d=a-c）</w:t>
            </w:r>
          </w:p>
        </w:tc>
        <w:tc>
          <w:tcPr>
            <w:tcW w:w="1281" w:type="dxa"/>
            <w:vAlign w:val="bottom"/>
          </w:tcPr>
          <w:p w14:paraId="2FAF51C4" w14:textId="77777777" w:rsidR="00DD2567" w:rsidRDefault="00680E4C">
            <w:pPr>
              <w:spacing w:line="360" w:lineRule="auto"/>
              <w:jc w:val="right"/>
              <w:rPr>
                <w:rFonts w:ascii="宋体" w:hAnsi="宋体"/>
                <w:sz w:val="24"/>
              </w:rPr>
            </w:pPr>
            <w:r>
              <w:rPr>
                <w:rFonts w:ascii="宋体" w:hAnsi="宋体"/>
                <w:sz w:val="24"/>
              </w:rPr>
              <w:t>147.78</w:t>
            </w:r>
          </w:p>
        </w:tc>
        <w:tc>
          <w:tcPr>
            <w:tcW w:w="1500" w:type="dxa"/>
            <w:vAlign w:val="bottom"/>
          </w:tcPr>
          <w:p w14:paraId="73E09089" w14:textId="77777777" w:rsidR="00DD2567" w:rsidRDefault="00680E4C">
            <w:pPr>
              <w:spacing w:line="360" w:lineRule="auto"/>
              <w:jc w:val="right"/>
              <w:rPr>
                <w:rFonts w:ascii="宋体" w:hAnsi="宋体"/>
                <w:sz w:val="24"/>
              </w:rPr>
            </w:pPr>
            <w:r>
              <w:rPr>
                <w:rFonts w:ascii="宋体" w:hAnsi="宋体"/>
                <w:sz w:val="24"/>
              </w:rPr>
              <w:t>11,857.71</w:t>
            </w:r>
          </w:p>
        </w:tc>
        <w:tc>
          <w:tcPr>
            <w:tcW w:w="1500" w:type="dxa"/>
            <w:vAlign w:val="bottom"/>
          </w:tcPr>
          <w:p w14:paraId="0915CACA" w14:textId="77777777" w:rsidR="00DD2567" w:rsidRDefault="00680E4C">
            <w:pPr>
              <w:spacing w:line="360" w:lineRule="auto"/>
              <w:jc w:val="right"/>
              <w:rPr>
                <w:rFonts w:ascii="宋体" w:hAnsi="宋体"/>
                <w:sz w:val="24"/>
              </w:rPr>
            </w:pPr>
            <w:r>
              <w:rPr>
                <w:rFonts w:ascii="宋体" w:hAnsi="宋体"/>
                <w:sz w:val="24"/>
              </w:rPr>
              <w:t>15,873.02</w:t>
            </w:r>
          </w:p>
        </w:tc>
        <w:tc>
          <w:tcPr>
            <w:tcW w:w="1620" w:type="dxa"/>
          </w:tcPr>
          <w:p w14:paraId="241153F8" w14:textId="77777777" w:rsidR="00DD2567" w:rsidRDefault="00680E4C">
            <w:pPr>
              <w:spacing w:line="360" w:lineRule="auto"/>
              <w:jc w:val="right"/>
              <w:rPr>
                <w:rFonts w:ascii="宋体" w:hAnsi="宋体"/>
                <w:sz w:val="24"/>
              </w:rPr>
            </w:pPr>
            <w:r>
              <w:rPr>
                <w:rFonts w:ascii="宋体" w:hAnsi="宋体"/>
                <w:sz w:val="24"/>
              </w:rPr>
              <w:t>1,000.00</w:t>
            </w:r>
          </w:p>
        </w:tc>
      </w:tr>
      <w:tr w:rsidR="00DD2567" w14:paraId="5AC46087" w14:textId="77777777">
        <w:trPr>
          <w:trHeight w:val="293"/>
          <w:jc w:val="center"/>
        </w:trPr>
        <w:tc>
          <w:tcPr>
            <w:tcW w:w="2868" w:type="dxa"/>
            <w:vAlign w:val="center"/>
          </w:tcPr>
          <w:p w14:paraId="6C5F41AA" w14:textId="77777777" w:rsidR="00DD2567" w:rsidRDefault="00680E4C">
            <w:pPr>
              <w:autoSpaceDE w:val="0"/>
              <w:autoSpaceDN w:val="0"/>
              <w:adjustRightInd w:val="0"/>
              <w:spacing w:line="360" w:lineRule="auto"/>
              <w:rPr>
                <w:rFonts w:ascii="宋体" w:hAnsi="宋体"/>
                <w:sz w:val="24"/>
              </w:rPr>
            </w:pPr>
            <w:r>
              <w:rPr>
                <w:rFonts w:ascii="宋体" w:hAnsi="宋体"/>
                <w:sz w:val="24"/>
              </w:rPr>
              <w:t>该类基金份额净值（e）</w:t>
            </w:r>
          </w:p>
        </w:tc>
        <w:tc>
          <w:tcPr>
            <w:tcW w:w="1281" w:type="dxa"/>
            <w:vAlign w:val="bottom"/>
          </w:tcPr>
          <w:p w14:paraId="1D670F3F" w14:textId="77777777" w:rsidR="00DD2567" w:rsidRDefault="00680E4C">
            <w:pPr>
              <w:spacing w:line="360" w:lineRule="auto"/>
              <w:jc w:val="right"/>
              <w:rPr>
                <w:rFonts w:ascii="宋体" w:hAnsi="宋体"/>
                <w:sz w:val="24"/>
              </w:rPr>
            </w:pPr>
            <w:r>
              <w:rPr>
                <w:rFonts w:ascii="宋体" w:hAnsi="宋体"/>
                <w:sz w:val="24"/>
              </w:rPr>
              <w:t>1.230</w:t>
            </w:r>
          </w:p>
        </w:tc>
        <w:tc>
          <w:tcPr>
            <w:tcW w:w="1500" w:type="dxa"/>
            <w:vAlign w:val="bottom"/>
          </w:tcPr>
          <w:p w14:paraId="15C09A5D" w14:textId="77777777" w:rsidR="00DD2567" w:rsidRDefault="00680E4C">
            <w:pPr>
              <w:spacing w:line="360" w:lineRule="auto"/>
              <w:jc w:val="right"/>
              <w:rPr>
                <w:rFonts w:ascii="宋体" w:hAnsi="宋体"/>
                <w:sz w:val="24"/>
              </w:rPr>
            </w:pPr>
            <w:r>
              <w:rPr>
                <w:rFonts w:ascii="宋体" w:hAnsi="宋体"/>
                <w:sz w:val="24"/>
              </w:rPr>
              <w:t>1.230</w:t>
            </w:r>
          </w:p>
        </w:tc>
        <w:tc>
          <w:tcPr>
            <w:tcW w:w="1500" w:type="dxa"/>
            <w:vAlign w:val="bottom"/>
          </w:tcPr>
          <w:p w14:paraId="18EE9749" w14:textId="77777777" w:rsidR="00DD2567" w:rsidRDefault="00680E4C">
            <w:pPr>
              <w:spacing w:line="360" w:lineRule="auto"/>
              <w:jc w:val="right"/>
              <w:rPr>
                <w:rFonts w:ascii="宋体" w:hAnsi="宋体"/>
                <w:sz w:val="24"/>
              </w:rPr>
            </w:pPr>
            <w:r>
              <w:rPr>
                <w:rFonts w:ascii="宋体" w:hAnsi="宋体"/>
                <w:sz w:val="24"/>
              </w:rPr>
              <w:t>1.230</w:t>
            </w:r>
          </w:p>
        </w:tc>
        <w:tc>
          <w:tcPr>
            <w:tcW w:w="1620" w:type="dxa"/>
            <w:vAlign w:val="bottom"/>
          </w:tcPr>
          <w:p w14:paraId="142E9986" w14:textId="77777777" w:rsidR="00DD2567" w:rsidRDefault="00680E4C">
            <w:pPr>
              <w:spacing w:line="360" w:lineRule="auto"/>
              <w:jc w:val="right"/>
              <w:rPr>
                <w:rFonts w:ascii="宋体" w:hAnsi="宋体"/>
                <w:sz w:val="24"/>
              </w:rPr>
            </w:pPr>
            <w:r>
              <w:rPr>
                <w:rFonts w:ascii="宋体" w:hAnsi="宋体"/>
                <w:sz w:val="24"/>
              </w:rPr>
              <w:t>1.230</w:t>
            </w:r>
          </w:p>
        </w:tc>
      </w:tr>
      <w:tr w:rsidR="00DD2567" w14:paraId="7D1E6819" w14:textId="77777777">
        <w:trPr>
          <w:trHeight w:val="293"/>
          <w:jc w:val="center"/>
        </w:trPr>
        <w:tc>
          <w:tcPr>
            <w:tcW w:w="2868" w:type="dxa"/>
            <w:vAlign w:val="center"/>
          </w:tcPr>
          <w:p w14:paraId="3AB7F362" w14:textId="77777777" w:rsidR="00DD2567" w:rsidRDefault="00680E4C">
            <w:pPr>
              <w:autoSpaceDE w:val="0"/>
              <w:autoSpaceDN w:val="0"/>
              <w:adjustRightInd w:val="0"/>
              <w:spacing w:line="360" w:lineRule="auto"/>
              <w:rPr>
                <w:rFonts w:ascii="宋体" w:hAnsi="宋体"/>
                <w:sz w:val="24"/>
              </w:rPr>
            </w:pPr>
            <w:r>
              <w:rPr>
                <w:rFonts w:ascii="宋体" w:hAnsi="宋体"/>
                <w:sz w:val="24"/>
              </w:rPr>
              <w:t>申购份额（=c/e）</w:t>
            </w:r>
          </w:p>
        </w:tc>
        <w:tc>
          <w:tcPr>
            <w:tcW w:w="1281" w:type="dxa"/>
            <w:vAlign w:val="bottom"/>
          </w:tcPr>
          <w:p w14:paraId="3E00D65C" w14:textId="77777777" w:rsidR="00DD2567" w:rsidRDefault="00680E4C">
            <w:pPr>
              <w:spacing w:line="360" w:lineRule="auto"/>
              <w:jc w:val="right"/>
              <w:rPr>
                <w:rFonts w:ascii="宋体" w:hAnsi="宋体"/>
                <w:sz w:val="24"/>
              </w:rPr>
            </w:pPr>
            <w:r>
              <w:rPr>
                <w:rFonts w:ascii="宋体" w:hAnsi="宋体"/>
                <w:sz w:val="24"/>
              </w:rPr>
              <w:t>8,009.93</w:t>
            </w:r>
          </w:p>
        </w:tc>
        <w:tc>
          <w:tcPr>
            <w:tcW w:w="1500" w:type="dxa"/>
            <w:vAlign w:val="bottom"/>
          </w:tcPr>
          <w:p w14:paraId="412C6682" w14:textId="77777777" w:rsidR="00DD2567" w:rsidRDefault="00680E4C">
            <w:pPr>
              <w:spacing w:line="360" w:lineRule="auto"/>
              <w:jc w:val="right"/>
              <w:rPr>
                <w:rFonts w:ascii="宋体" w:hAnsi="宋体"/>
                <w:sz w:val="24"/>
              </w:rPr>
            </w:pPr>
            <w:r>
              <w:rPr>
                <w:rFonts w:ascii="宋体" w:hAnsi="宋体"/>
                <w:sz w:val="24"/>
              </w:rPr>
              <w:t>803,367.72</w:t>
            </w:r>
          </w:p>
        </w:tc>
        <w:tc>
          <w:tcPr>
            <w:tcW w:w="1500" w:type="dxa"/>
            <w:vAlign w:val="bottom"/>
          </w:tcPr>
          <w:p w14:paraId="5F654FF5" w14:textId="77777777" w:rsidR="00DD2567" w:rsidRDefault="00680E4C">
            <w:pPr>
              <w:spacing w:line="360" w:lineRule="auto"/>
              <w:jc w:val="right"/>
              <w:rPr>
                <w:rFonts w:ascii="宋体" w:hAnsi="宋体"/>
                <w:sz w:val="24"/>
              </w:rPr>
            </w:pPr>
            <w:r>
              <w:rPr>
                <w:rFonts w:ascii="宋体" w:hAnsi="宋体"/>
                <w:sz w:val="24"/>
              </w:rPr>
              <w:t>1,613,111.37</w:t>
            </w:r>
          </w:p>
        </w:tc>
        <w:tc>
          <w:tcPr>
            <w:tcW w:w="1620" w:type="dxa"/>
            <w:vAlign w:val="bottom"/>
          </w:tcPr>
          <w:p w14:paraId="4CB955D3" w14:textId="77777777" w:rsidR="00DD2567" w:rsidRDefault="00680E4C">
            <w:pPr>
              <w:spacing w:line="360" w:lineRule="auto"/>
              <w:jc w:val="right"/>
              <w:rPr>
                <w:rFonts w:ascii="宋体" w:hAnsi="宋体"/>
                <w:sz w:val="24"/>
              </w:rPr>
            </w:pPr>
            <w:r>
              <w:rPr>
                <w:rFonts w:ascii="宋体" w:hAnsi="宋体"/>
                <w:sz w:val="24"/>
              </w:rPr>
              <w:t>8,129,268.29</w:t>
            </w:r>
          </w:p>
        </w:tc>
      </w:tr>
    </w:tbl>
    <w:p w14:paraId="128C8F3B" w14:textId="77777777" w:rsidR="00DD2567" w:rsidRDefault="00DD2567">
      <w:pPr>
        <w:spacing w:line="360" w:lineRule="auto"/>
        <w:ind w:firstLineChars="200" w:firstLine="480"/>
        <w:rPr>
          <w:rFonts w:ascii="宋体" w:hAnsi="宋体"/>
          <w:sz w:val="24"/>
        </w:rPr>
      </w:pPr>
    </w:p>
    <w:p w14:paraId="355F7F8F"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lastRenderedPageBreak/>
        <w:t>2、本基金赎回金额的计算</w:t>
      </w:r>
    </w:p>
    <w:p w14:paraId="2BAD627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本基金的赎回金额为</w:t>
      </w:r>
      <w:r>
        <w:rPr>
          <w:rFonts w:ascii="宋体" w:hAnsi="宋体"/>
          <w:bCs/>
          <w:sz w:val="24"/>
        </w:rPr>
        <w:t>按实际确认的有效赎回份额乘以当日基金份额净值并扣除相应的费用</w:t>
      </w:r>
      <w:r>
        <w:rPr>
          <w:rFonts w:ascii="宋体" w:hAnsi="宋体" w:hint="eastAsia"/>
          <w:color w:val="000000"/>
          <w:sz w:val="24"/>
        </w:rPr>
        <w:t>，其中：</w:t>
      </w:r>
    </w:p>
    <w:p w14:paraId="35A7876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赎回总额</w:t>
      </w:r>
      <w:r>
        <w:rPr>
          <w:rFonts w:ascii="宋体" w:hAnsi="宋体"/>
          <w:color w:val="000000"/>
          <w:sz w:val="24"/>
        </w:rPr>
        <w:t>=</w:t>
      </w:r>
      <w:r>
        <w:rPr>
          <w:rFonts w:ascii="宋体" w:hAnsi="宋体" w:hint="eastAsia"/>
          <w:color w:val="000000"/>
          <w:sz w:val="24"/>
        </w:rPr>
        <w:t>赎回份额×T日基金份额净值</w:t>
      </w:r>
    </w:p>
    <w:p w14:paraId="77029D9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赎回费用</w:t>
      </w:r>
      <w:r>
        <w:rPr>
          <w:rFonts w:ascii="宋体" w:hAnsi="宋体"/>
          <w:color w:val="000000"/>
          <w:sz w:val="24"/>
        </w:rPr>
        <w:t>=</w:t>
      </w:r>
      <w:r>
        <w:rPr>
          <w:rFonts w:ascii="宋体" w:hAnsi="宋体" w:hint="eastAsia"/>
          <w:color w:val="000000"/>
          <w:sz w:val="24"/>
        </w:rPr>
        <w:t>赎回总额×赎回费率</w:t>
      </w:r>
    </w:p>
    <w:p w14:paraId="3A655B0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赎回金额</w:t>
      </w:r>
      <w:r>
        <w:rPr>
          <w:rFonts w:ascii="宋体" w:hAnsi="宋体"/>
          <w:color w:val="000000"/>
          <w:sz w:val="24"/>
        </w:rPr>
        <w:t>=</w:t>
      </w:r>
      <w:r>
        <w:rPr>
          <w:rFonts w:ascii="宋体" w:hAnsi="宋体" w:hint="eastAsia"/>
          <w:color w:val="000000"/>
          <w:sz w:val="24"/>
        </w:rPr>
        <w:t>赎回总额－赎回费用</w:t>
      </w:r>
    </w:p>
    <w:p w14:paraId="5D6261B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赎回费用以人民币元为单位，计算结果按照四舍五入方法，保留小数点后两位；赎回金额计算结果按照四舍五入方法，保留到小数点后两位，由此误差产生的损失由基金财产承担，产生的收益归基金财产所有。</w:t>
      </w:r>
    </w:p>
    <w:p w14:paraId="224C0745" w14:textId="3A6606C8"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例：某投资人赎回持有期</w:t>
      </w:r>
      <w:r w:rsidR="00FD4D4F">
        <w:rPr>
          <w:rFonts w:ascii="宋体" w:hAnsi="宋体" w:hint="eastAsia"/>
          <w:color w:val="000000"/>
          <w:sz w:val="24"/>
        </w:rPr>
        <w:t>3个月</w:t>
      </w:r>
      <w:r>
        <w:rPr>
          <w:rFonts w:ascii="宋体" w:hAnsi="宋体" w:hint="eastAsia"/>
          <w:color w:val="000000"/>
          <w:sz w:val="24"/>
        </w:rPr>
        <w:t>的本基金基金份额10,000份，对应的赎回费率为0.5%，假设赎回当日基金份额净值是1.100元，则其赎回费用和可得到的赎回金额为：</w:t>
      </w:r>
    </w:p>
    <w:p w14:paraId="59BFAEB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赎回总额=10,000×1.100=11,000元</w:t>
      </w:r>
    </w:p>
    <w:p w14:paraId="299E9BB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赎回费用=11,000×0.5%=55元</w:t>
      </w:r>
    </w:p>
    <w:p w14:paraId="44C89146"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赎回金额=11,000－55=10,945元</w:t>
      </w:r>
    </w:p>
    <w:p w14:paraId="5D7A037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即该投资人赎回10,000份基金，可得金额为10,945元。</w:t>
      </w:r>
    </w:p>
    <w:p w14:paraId="2CE2FE2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3、基金份额净值的计算公式为：</w:t>
      </w:r>
    </w:p>
    <w:p w14:paraId="1B3D4B4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 xml:space="preserve">基金份额净值＝计算日基金资产净值总额/计算日发行在外的基金份额总数。 </w:t>
      </w:r>
    </w:p>
    <w:p w14:paraId="197CC6B8" w14:textId="78CDC5F0"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本基金基金份额净值的计算保留到小数点后</w:t>
      </w:r>
      <w:r w:rsidR="00A047AF">
        <w:rPr>
          <w:rFonts w:ascii="宋体" w:hAnsi="宋体" w:hint="eastAsia"/>
          <w:color w:val="000000"/>
          <w:sz w:val="24"/>
        </w:rPr>
        <w:t>四</w:t>
      </w:r>
      <w:r>
        <w:rPr>
          <w:rFonts w:ascii="宋体" w:hAnsi="宋体" w:hint="eastAsia"/>
          <w:color w:val="000000"/>
          <w:sz w:val="24"/>
        </w:rPr>
        <w:t>位，小数点后第</w:t>
      </w:r>
      <w:r w:rsidR="00A047AF">
        <w:rPr>
          <w:rFonts w:ascii="宋体" w:hAnsi="宋体" w:hint="eastAsia"/>
          <w:color w:val="000000"/>
          <w:sz w:val="24"/>
        </w:rPr>
        <w:t>五</w:t>
      </w:r>
      <w:r>
        <w:rPr>
          <w:rFonts w:ascii="宋体" w:hAnsi="宋体" w:hint="eastAsia"/>
          <w:color w:val="000000"/>
          <w:sz w:val="24"/>
        </w:rPr>
        <w:t>位四舍五入，由此误差产生的损失由基金财产承担，产生的收益归基金财产所有。</w:t>
      </w:r>
    </w:p>
    <w:p w14:paraId="62E04CF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4、</w:t>
      </w:r>
      <w:r>
        <w:rPr>
          <w:rFonts w:ascii="宋体" w:hAnsi="宋体"/>
          <w:color w:val="000000"/>
          <w:sz w:val="24"/>
        </w:rPr>
        <w:t>T</w:t>
      </w:r>
      <w:r>
        <w:rPr>
          <w:rFonts w:ascii="宋体" w:hAnsi="宋体" w:hint="eastAsia"/>
          <w:color w:val="000000"/>
          <w:sz w:val="24"/>
        </w:rPr>
        <w:t>日的基金份额净值在当日收市后计算，并在</w:t>
      </w:r>
      <w:r>
        <w:rPr>
          <w:rFonts w:ascii="宋体" w:hAnsi="宋体"/>
          <w:color w:val="000000"/>
          <w:sz w:val="24"/>
        </w:rPr>
        <w:t>T+1</w:t>
      </w:r>
      <w:r>
        <w:rPr>
          <w:rFonts w:ascii="宋体" w:hAnsi="宋体" w:hint="eastAsia"/>
          <w:color w:val="000000"/>
          <w:sz w:val="24"/>
        </w:rPr>
        <w:t>日内公告。遇特殊情况，经中国证监会同意，可以适当延迟计算或公告。</w:t>
      </w:r>
    </w:p>
    <w:p w14:paraId="51F5B4E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5、</w:t>
      </w:r>
      <w:r>
        <w:rPr>
          <w:rFonts w:ascii="宋体" w:hAnsi="宋体"/>
          <w:bCs/>
          <w:sz w:val="24"/>
        </w:rPr>
        <w:t>申购费用由投资人承担</w:t>
      </w:r>
      <w:r>
        <w:rPr>
          <w:rFonts w:ascii="宋体" w:hAnsi="宋体" w:hint="eastAsia"/>
          <w:color w:val="000000"/>
          <w:sz w:val="24"/>
        </w:rPr>
        <w:t>，不列入基金财产。</w:t>
      </w:r>
    </w:p>
    <w:p w14:paraId="5A2A414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6、基金管理人可以在基金合同约定的范围内调整费率或收费方式并最迟于新的费率或收费方式实施日</w:t>
      </w:r>
      <w:r>
        <w:rPr>
          <w:rFonts w:ascii="宋体" w:hAnsi="宋体"/>
          <w:bCs/>
          <w:sz w:val="24"/>
        </w:rPr>
        <w:t>依照《信息披露办法》的有关规定</w:t>
      </w:r>
      <w:r>
        <w:rPr>
          <w:rFonts w:ascii="宋体" w:hAnsi="宋体" w:hint="eastAsia"/>
          <w:color w:val="000000"/>
          <w:sz w:val="24"/>
        </w:rPr>
        <w:t>前在指定媒介上公告。</w:t>
      </w:r>
    </w:p>
    <w:p w14:paraId="221763E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7、基金管理人可以在不违背法律法规规定及基金合同约定的情况下根据市场情况制定基金促销计划，定期和不定期地开展基金促销活动。在基金促销活动期间，基金管理人可以按中国证监会要求履行必要手续后，对基金投资者适当调整基金申购费率、赎回费率和转换费率。</w:t>
      </w:r>
    </w:p>
    <w:p w14:paraId="7660CC0A" w14:textId="77777777" w:rsidR="00DD2567" w:rsidRDefault="00680E4C">
      <w:pPr>
        <w:spacing w:line="360" w:lineRule="auto"/>
        <w:ind w:firstLineChars="200" w:firstLine="480"/>
        <w:rPr>
          <w:rFonts w:ascii="宋体" w:hAnsi="宋体"/>
          <w:sz w:val="24"/>
        </w:rPr>
      </w:pPr>
      <w:r>
        <w:rPr>
          <w:rFonts w:ascii="宋体" w:hAnsi="宋体" w:hint="eastAsia"/>
          <w:sz w:val="24"/>
        </w:rPr>
        <w:lastRenderedPageBreak/>
        <w:t>（八）拒绝或暂停申购的情形</w:t>
      </w:r>
    </w:p>
    <w:p w14:paraId="7A809922" w14:textId="77777777" w:rsidR="00DD2567" w:rsidRDefault="00680E4C">
      <w:pPr>
        <w:spacing w:line="360" w:lineRule="auto"/>
        <w:ind w:firstLineChars="200" w:firstLine="480"/>
        <w:rPr>
          <w:rFonts w:ascii="宋体" w:hAnsi="宋体"/>
          <w:sz w:val="24"/>
        </w:rPr>
      </w:pPr>
      <w:r>
        <w:rPr>
          <w:rFonts w:ascii="宋体" w:hAnsi="宋体" w:hint="eastAsia"/>
          <w:sz w:val="24"/>
        </w:rPr>
        <w:t>发生下列情况时，基金管理人可拒绝或暂停接受投资人的申购申请：</w:t>
      </w:r>
    </w:p>
    <w:p w14:paraId="327FB725" w14:textId="77777777" w:rsidR="00DD2567" w:rsidRDefault="00680E4C">
      <w:pPr>
        <w:spacing w:line="360" w:lineRule="auto"/>
        <w:ind w:firstLineChars="200" w:firstLine="480"/>
        <w:rPr>
          <w:rFonts w:ascii="宋体" w:hAnsi="宋体"/>
          <w:sz w:val="24"/>
        </w:rPr>
      </w:pPr>
      <w:r>
        <w:rPr>
          <w:rFonts w:ascii="宋体" w:hAnsi="宋体" w:hint="eastAsia"/>
          <w:sz w:val="24"/>
        </w:rPr>
        <w:t>1、因不可抗力导致基金无法正常运作。</w:t>
      </w:r>
    </w:p>
    <w:p w14:paraId="68A1E1C7" w14:textId="77777777" w:rsidR="00DD2567" w:rsidRDefault="00680E4C">
      <w:pPr>
        <w:spacing w:line="360" w:lineRule="auto"/>
        <w:ind w:firstLineChars="200" w:firstLine="480"/>
        <w:rPr>
          <w:rFonts w:ascii="宋体" w:hAnsi="宋体"/>
          <w:sz w:val="24"/>
        </w:rPr>
      </w:pPr>
      <w:r>
        <w:rPr>
          <w:rFonts w:ascii="宋体" w:hAnsi="宋体" w:hint="eastAsia"/>
          <w:sz w:val="24"/>
        </w:rPr>
        <w:t>2、发生基金合同规定的暂停基金资产估值情况时，基金管理人可暂停接受投资人的申购申请。</w:t>
      </w:r>
    </w:p>
    <w:p w14:paraId="255F793E" w14:textId="77777777" w:rsidR="00DD2567" w:rsidRDefault="00680E4C">
      <w:pPr>
        <w:spacing w:line="360" w:lineRule="auto"/>
        <w:ind w:firstLineChars="200" w:firstLine="480"/>
        <w:rPr>
          <w:rFonts w:ascii="宋体" w:hAnsi="宋体"/>
          <w:sz w:val="24"/>
        </w:rPr>
      </w:pPr>
      <w:r>
        <w:rPr>
          <w:rFonts w:ascii="宋体" w:hAnsi="宋体" w:hint="eastAsia"/>
          <w:sz w:val="24"/>
        </w:rPr>
        <w:t>3、</w:t>
      </w:r>
      <w:r>
        <w:rPr>
          <w:rFonts w:ascii="宋体" w:hAnsi="宋体"/>
          <w:bCs/>
          <w:sz w:val="24"/>
        </w:rPr>
        <w:t>证券</w:t>
      </w:r>
      <w:r>
        <w:rPr>
          <w:rFonts w:ascii="宋体" w:hAnsi="宋体" w:hint="eastAsia"/>
          <w:bCs/>
          <w:sz w:val="24"/>
        </w:rPr>
        <w:t>/期货</w:t>
      </w:r>
      <w:r>
        <w:rPr>
          <w:rFonts w:ascii="宋体" w:hAnsi="宋体" w:hint="eastAsia"/>
          <w:sz w:val="24"/>
        </w:rPr>
        <w:t>交易所交易时间非正常停市，导致基金管理人无法计算当日基金资产净值。</w:t>
      </w:r>
    </w:p>
    <w:p w14:paraId="5ABB133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4、基金管理人接受某笔或某些申购申请会影响或损害现有基金份额持有人利益时。</w:t>
      </w:r>
    </w:p>
    <w:p w14:paraId="55DD2110"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5、基金资产规模过大，使基金管理人无法找到合适的投资品种，或其他可能对基金业绩产生负面影响，或其他损害现有基金份额持有人利益的情形。</w:t>
      </w:r>
    </w:p>
    <w:p w14:paraId="1F4A34D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6、法律法规规定或中国证监会认定的其他情形。</w:t>
      </w:r>
    </w:p>
    <w:p w14:paraId="7CDAB1C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发生上述</w:t>
      </w:r>
      <w:r>
        <w:rPr>
          <w:rFonts w:ascii="宋体" w:hAnsi="宋体"/>
          <w:bCs/>
          <w:sz w:val="24"/>
        </w:rPr>
        <w:t>第1、2、</w:t>
      </w:r>
      <w:r>
        <w:rPr>
          <w:rFonts w:ascii="宋体" w:hAnsi="宋体" w:hint="eastAsia"/>
          <w:bCs/>
          <w:sz w:val="24"/>
        </w:rPr>
        <w:t>3</w:t>
      </w:r>
      <w:r>
        <w:rPr>
          <w:rFonts w:ascii="宋体" w:hAnsi="宋体"/>
          <w:bCs/>
          <w:sz w:val="24"/>
        </w:rPr>
        <w:t>、5</w:t>
      </w:r>
      <w:r>
        <w:rPr>
          <w:rFonts w:ascii="宋体" w:hAnsi="宋体" w:hint="eastAsia"/>
          <w:bCs/>
          <w:sz w:val="24"/>
        </w:rPr>
        <w:t>、6</w:t>
      </w:r>
      <w:r>
        <w:rPr>
          <w:rFonts w:ascii="宋体" w:hAnsi="宋体"/>
          <w:bCs/>
          <w:sz w:val="24"/>
        </w:rPr>
        <w:t>项</w:t>
      </w:r>
      <w:r>
        <w:rPr>
          <w:rFonts w:ascii="宋体" w:hAnsi="宋体" w:hint="eastAsia"/>
          <w:color w:val="000000"/>
          <w:sz w:val="24"/>
        </w:rPr>
        <w:t>暂停申购情形之一且基金管理人决定暂停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6CE3725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（九）暂停赎回或延缓支付赎回款项的情形</w:t>
      </w:r>
    </w:p>
    <w:p w14:paraId="6CA74DD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发生下列情形时，基金管理人可暂停接受基金投资人的赎回申请或延缓支付赎回款项：</w:t>
      </w:r>
    </w:p>
    <w:p w14:paraId="6962659B"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1、因不可抗力导致基金管理人不能支付赎回款项；</w:t>
      </w:r>
    </w:p>
    <w:p w14:paraId="7EE0DB2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w:t>
      </w:r>
      <w:r>
        <w:rPr>
          <w:rFonts w:ascii="宋体" w:hAnsi="宋体" w:hint="eastAsia"/>
          <w:bCs/>
          <w:sz w:val="24"/>
        </w:rPr>
        <w:t>发生基金合同规定的暂停基金资产估值情况时，基金管理人可暂停接受投资人的赎回申请或延缓支付赎回款项；</w:t>
      </w:r>
    </w:p>
    <w:p w14:paraId="13452E75"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3、证券</w:t>
      </w:r>
      <w:r>
        <w:rPr>
          <w:rFonts w:ascii="宋体" w:hAnsi="宋体" w:hint="eastAsia"/>
          <w:bCs/>
          <w:sz w:val="24"/>
        </w:rPr>
        <w:t>/期货</w:t>
      </w:r>
      <w:r>
        <w:rPr>
          <w:rFonts w:ascii="宋体" w:hAnsi="宋体" w:hint="eastAsia"/>
          <w:color w:val="000000"/>
          <w:sz w:val="24"/>
        </w:rPr>
        <w:t>交易所交易时间非正常停市，导致基金管理人无法计算当日基金资产净值；</w:t>
      </w:r>
    </w:p>
    <w:p w14:paraId="60140190"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4、连续两个或两个以上开放日发生巨额赎回；</w:t>
      </w:r>
    </w:p>
    <w:p w14:paraId="7A8CE0F4"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5、基金管理人认为继续接受赎回申请将损害现有基金份额持有人利益的情形时，可暂停接受投资人的赎回申请。</w:t>
      </w:r>
    </w:p>
    <w:p w14:paraId="099EE336" w14:textId="77777777" w:rsidR="00DD2567" w:rsidRDefault="00680E4C">
      <w:pPr>
        <w:snapToGrid w:val="0"/>
        <w:spacing w:line="360" w:lineRule="auto"/>
        <w:ind w:firstLineChars="200" w:firstLine="480"/>
        <w:rPr>
          <w:rFonts w:ascii="宋体" w:hAnsi="宋体"/>
          <w:color w:val="000000"/>
          <w:sz w:val="24"/>
        </w:rPr>
      </w:pPr>
      <w:r>
        <w:rPr>
          <w:rFonts w:ascii="宋体" w:hAnsi="宋体"/>
          <w:color w:val="000000"/>
          <w:sz w:val="24"/>
        </w:rPr>
        <w:t>6</w:t>
      </w:r>
      <w:r>
        <w:rPr>
          <w:rFonts w:ascii="宋体" w:hAnsi="宋体" w:hint="eastAsia"/>
          <w:color w:val="000000"/>
          <w:sz w:val="24"/>
        </w:rPr>
        <w:t>、法律法规规定或中国证监会认定的其他情形。</w:t>
      </w:r>
    </w:p>
    <w:p w14:paraId="2F7F37C1" w14:textId="77777777" w:rsidR="00DD2567" w:rsidRDefault="00680E4C">
      <w:pPr>
        <w:snapToGrid w:val="0"/>
        <w:spacing w:line="360" w:lineRule="auto"/>
        <w:ind w:firstLineChars="200" w:firstLine="480"/>
        <w:rPr>
          <w:rFonts w:ascii="宋体" w:hAnsi="宋体"/>
          <w:color w:val="000000"/>
          <w:sz w:val="24"/>
        </w:rPr>
      </w:pPr>
      <w:r>
        <w:rPr>
          <w:rFonts w:ascii="宋体" w:hAnsi="宋体"/>
          <w:color w:val="000000"/>
          <w:sz w:val="24"/>
        </w:rPr>
        <w:t>发生上述情形</w:t>
      </w:r>
      <w:r>
        <w:rPr>
          <w:rFonts w:ascii="宋体" w:hAnsi="宋体" w:hint="eastAsia"/>
          <w:color w:val="000000"/>
          <w:sz w:val="24"/>
        </w:rPr>
        <w:t>之一且基金管理人决定暂停赎回申请时，</w:t>
      </w:r>
      <w:r>
        <w:rPr>
          <w:rFonts w:ascii="宋体" w:hAnsi="宋体"/>
          <w:color w:val="000000"/>
          <w:sz w:val="24"/>
        </w:rPr>
        <w:t>基金管理人应在当日</w:t>
      </w:r>
      <w:r>
        <w:rPr>
          <w:rFonts w:ascii="宋体" w:hAnsi="宋体" w:hint="eastAsia"/>
          <w:color w:val="000000"/>
          <w:sz w:val="24"/>
        </w:rPr>
        <w:t>报</w:t>
      </w:r>
      <w:r>
        <w:rPr>
          <w:rFonts w:ascii="宋体" w:hAnsi="宋体"/>
          <w:color w:val="000000"/>
          <w:sz w:val="24"/>
        </w:rPr>
        <w:t>中国证监会</w:t>
      </w:r>
      <w:r>
        <w:rPr>
          <w:rFonts w:ascii="宋体" w:hAnsi="宋体" w:hint="eastAsia"/>
          <w:color w:val="000000"/>
          <w:sz w:val="24"/>
        </w:rPr>
        <w:t>备案</w:t>
      </w:r>
      <w:r>
        <w:rPr>
          <w:rFonts w:ascii="宋体" w:hAnsi="宋体"/>
          <w:color w:val="000000"/>
          <w:sz w:val="24"/>
        </w:rPr>
        <w:t>，已</w:t>
      </w:r>
      <w:r>
        <w:rPr>
          <w:rFonts w:ascii="宋体" w:hAnsi="宋体" w:hint="eastAsia"/>
          <w:color w:val="000000"/>
          <w:sz w:val="24"/>
        </w:rPr>
        <w:t>确认</w:t>
      </w:r>
      <w:r>
        <w:rPr>
          <w:rFonts w:ascii="宋体" w:hAnsi="宋体"/>
          <w:color w:val="000000"/>
          <w:sz w:val="24"/>
        </w:rPr>
        <w:t>的赎回申请，基金管理人应足额支付；如暂时不能足</w:t>
      </w:r>
      <w:r>
        <w:rPr>
          <w:rFonts w:ascii="宋体" w:hAnsi="宋体"/>
          <w:color w:val="000000"/>
          <w:sz w:val="24"/>
        </w:rPr>
        <w:lastRenderedPageBreak/>
        <w:t>额支付，</w:t>
      </w:r>
      <w:r>
        <w:rPr>
          <w:rFonts w:ascii="宋体" w:hAnsi="宋体" w:hint="eastAsia"/>
          <w:color w:val="000000"/>
          <w:sz w:val="24"/>
        </w:rPr>
        <w:t>应将</w:t>
      </w:r>
      <w:r>
        <w:rPr>
          <w:rFonts w:ascii="宋体" w:hAnsi="宋体"/>
          <w:color w:val="000000"/>
          <w:sz w:val="24"/>
        </w:rPr>
        <w:t>可支付部分按单个账户申请量占申请总量的比例分配给赎回申请人，未支付部分</w:t>
      </w:r>
      <w:r>
        <w:rPr>
          <w:rFonts w:ascii="宋体" w:hAnsi="宋体" w:hint="eastAsia"/>
          <w:color w:val="000000"/>
          <w:sz w:val="24"/>
        </w:rPr>
        <w:t>可延期支付，并以申请当日的</w:t>
      </w:r>
      <w:r>
        <w:rPr>
          <w:rFonts w:ascii="宋体" w:hAnsi="宋体"/>
          <w:color w:val="000000"/>
          <w:sz w:val="24"/>
        </w:rPr>
        <w:t>基金</w:t>
      </w:r>
      <w:r>
        <w:rPr>
          <w:rFonts w:ascii="宋体" w:hAnsi="宋体" w:hint="eastAsia"/>
          <w:color w:val="000000"/>
          <w:sz w:val="24"/>
        </w:rPr>
        <w:t>份额净值为依据计算赎回金额。若出现上述第4项所述情形，按基金合同的相关条款处理。基金份额持有人</w:t>
      </w:r>
      <w:r>
        <w:rPr>
          <w:rFonts w:ascii="宋体" w:hAnsi="宋体"/>
          <w:color w:val="000000"/>
          <w:sz w:val="24"/>
        </w:rPr>
        <w:t>在申请赎回时可事先选择将当日可能未获受理部分予以撤销。在暂停赎回的情况消除时，基金管理人应及时恢复赎回业务的办理</w:t>
      </w:r>
      <w:r>
        <w:rPr>
          <w:rFonts w:ascii="宋体" w:hAnsi="宋体" w:hint="eastAsia"/>
          <w:color w:val="000000"/>
          <w:sz w:val="24"/>
        </w:rPr>
        <w:t>并公告</w:t>
      </w:r>
      <w:r>
        <w:rPr>
          <w:rFonts w:ascii="宋体" w:hAnsi="宋体"/>
          <w:color w:val="000000"/>
          <w:sz w:val="24"/>
        </w:rPr>
        <w:t>。</w:t>
      </w:r>
    </w:p>
    <w:p w14:paraId="3E8AB63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（十）巨额赎回的情形及处理方式</w:t>
      </w:r>
    </w:p>
    <w:p w14:paraId="6A7E14CE"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1、巨额赎回的认定</w:t>
      </w:r>
    </w:p>
    <w:p w14:paraId="01F10A1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sz w:val="24"/>
        </w:rPr>
        <w:t>若本基金单个开放日内的基金份额净赎回申请（赎回申请份额总数加上基金转换中转出申请份额总数后扣除申购申请份额总数及基金转换中转入申请份额总</w:t>
      </w:r>
      <w:r>
        <w:rPr>
          <w:rFonts w:ascii="宋体" w:hAnsi="宋体" w:hint="eastAsia"/>
          <w:color w:val="000000"/>
          <w:sz w:val="24"/>
        </w:rPr>
        <w:t>数后的余额）超过前一开放日的基金总份额的10%，即认为是发生了巨额赎回。</w:t>
      </w:r>
    </w:p>
    <w:p w14:paraId="171CD35F"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2、巨额赎回的处理方式</w:t>
      </w:r>
    </w:p>
    <w:p w14:paraId="47E5B423"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当基金出现巨额赎回时，基金管理人可以根据基金当时的资产组合状况决定全额赎回或部分延期赎回。</w:t>
      </w:r>
    </w:p>
    <w:p w14:paraId="523C7E4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（1）全额赎回：当基金管理人认为有能力支付投资人的全部赎回申请时，按正常赎回程序执行。</w:t>
      </w:r>
    </w:p>
    <w:p w14:paraId="75C5424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宋体" w:hAnsi="宋体"/>
          <w:color w:val="000000"/>
          <w:sz w:val="24"/>
        </w:rPr>
        <w:t>10</w:t>
      </w:r>
      <w:r>
        <w:rPr>
          <w:rFonts w:ascii="宋体" w:hAnsi="宋体" w:hint="eastAsia"/>
          <w:color w:val="000000"/>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w:t>
      </w:r>
      <w:r>
        <w:rPr>
          <w:rFonts w:ascii="宋体" w:hAnsi="宋体"/>
          <w:bCs/>
          <w:sz w:val="24"/>
        </w:rPr>
        <w:t>以此类推，直到全部赎回为止。如投资人</w:t>
      </w:r>
      <w:r>
        <w:rPr>
          <w:rFonts w:ascii="宋体" w:hAnsi="宋体" w:hint="eastAsia"/>
          <w:color w:val="000000"/>
          <w:sz w:val="24"/>
        </w:rPr>
        <w:t>在提交赎回申请时未作明确选择，投资人未能赎回部分作自动延期赎回处理。</w:t>
      </w:r>
    </w:p>
    <w:p w14:paraId="2B8CB1DA" w14:textId="77777777" w:rsidR="00DD2567" w:rsidRDefault="00680E4C">
      <w:pPr>
        <w:spacing w:line="360" w:lineRule="auto"/>
        <w:ind w:firstLineChars="200" w:firstLine="480"/>
        <w:rPr>
          <w:rFonts w:ascii="宋体" w:hAnsi="宋体"/>
          <w:color w:val="000000"/>
          <w:sz w:val="24"/>
        </w:rPr>
      </w:pPr>
      <w:r>
        <w:rPr>
          <w:rFonts w:ascii="宋体" w:hAnsi="宋体"/>
          <w:color w:val="000000"/>
          <w:sz w:val="24"/>
        </w:rPr>
        <w:t>（</w:t>
      </w:r>
      <w:r>
        <w:rPr>
          <w:rFonts w:ascii="宋体" w:hAnsi="宋体" w:hint="eastAsia"/>
          <w:color w:val="000000"/>
          <w:sz w:val="24"/>
        </w:rPr>
        <w:t>3</w:t>
      </w:r>
      <w:r>
        <w:rPr>
          <w:rFonts w:ascii="宋体" w:hAnsi="宋体"/>
          <w:color w:val="000000"/>
          <w:sz w:val="24"/>
        </w:rPr>
        <w:t>）暂停赎回：连续</w:t>
      </w:r>
      <w:r>
        <w:rPr>
          <w:rFonts w:ascii="宋体" w:hAnsi="宋体" w:hint="eastAsia"/>
          <w:color w:val="000000"/>
          <w:sz w:val="24"/>
        </w:rPr>
        <w:t>2</w:t>
      </w:r>
      <w:r>
        <w:rPr>
          <w:rFonts w:ascii="宋体" w:hAnsi="宋体"/>
          <w:color w:val="000000"/>
          <w:sz w:val="24"/>
        </w:rPr>
        <w:t xml:space="preserve"> 日以上（含本数）发生巨额赎回，如基金管理人认为有必要，可暂停接受基金的赎回申请；已经接受的赎回申请可以延缓支付赎回款项，但不得超过</w:t>
      </w:r>
      <w:r>
        <w:rPr>
          <w:rFonts w:ascii="宋体" w:hAnsi="宋体" w:hint="eastAsia"/>
          <w:color w:val="000000"/>
          <w:sz w:val="24"/>
        </w:rPr>
        <w:t>20</w:t>
      </w:r>
      <w:r>
        <w:rPr>
          <w:rFonts w:ascii="宋体" w:hAnsi="宋体"/>
          <w:color w:val="000000"/>
          <w:sz w:val="24"/>
        </w:rPr>
        <w:t>个工作日，并应当在指定媒介上进行公告。</w:t>
      </w:r>
    </w:p>
    <w:p w14:paraId="4F8FCF09"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3、巨额赎回的公告</w:t>
      </w:r>
    </w:p>
    <w:p w14:paraId="5B067A1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lastRenderedPageBreak/>
        <w:t>当发生上述延期赎回并延期办理时，基金管理人应当通过邮寄、传真或者招募说明书规定的其他方式在</w:t>
      </w:r>
      <w:r>
        <w:rPr>
          <w:rFonts w:ascii="宋体" w:hAnsi="宋体"/>
          <w:color w:val="000000"/>
          <w:sz w:val="24"/>
        </w:rPr>
        <w:t>3</w:t>
      </w:r>
      <w:r>
        <w:rPr>
          <w:rFonts w:ascii="宋体" w:hAnsi="宋体" w:hint="eastAsia"/>
          <w:color w:val="000000"/>
          <w:sz w:val="24"/>
        </w:rPr>
        <w:t>个交易日内通知基金份额持有人，说明有关处理方法，</w:t>
      </w:r>
      <w:r>
        <w:rPr>
          <w:rFonts w:ascii="宋体" w:hAnsi="宋体"/>
          <w:bCs/>
          <w:sz w:val="24"/>
        </w:rPr>
        <w:t>同时在指定媒介上刊登公告</w:t>
      </w:r>
      <w:r>
        <w:rPr>
          <w:rFonts w:ascii="宋体" w:hAnsi="宋体" w:hint="eastAsia"/>
          <w:color w:val="000000"/>
          <w:sz w:val="24"/>
        </w:rPr>
        <w:t>。</w:t>
      </w:r>
    </w:p>
    <w:p w14:paraId="22878F5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（十一）暂停申购或赎回的公告和重新开放申购或赎回的公告</w:t>
      </w:r>
    </w:p>
    <w:p w14:paraId="4591D5A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1、发生上述暂停申购或赎回情况的，基金管理人当日应立即向中国证监会备案，并在规定期限内在指定媒介上刊登暂停公告。</w:t>
      </w:r>
    </w:p>
    <w:p w14:paraId="06BEC04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2、如发生暂停的时间为</w:t>
      </w:r>
      <w:r>
        <w:rPr>
          <w:rFonts w:ascii="宋体" w:hAnsi="宋体"/>
          <w:color w:val="000000"/>
          <w:sz w:val="24"/>
        </w:rPr>
        <w:t>1</w:t>
      </w:r>
      <w:r>
        <w:rPr>
          <w:rFonts w:ascii="宋体" w:hAnsi="宋体" w:hint="eastAsia"/>
          <w:color w:val="000000"/>
          <w:sz w:val="24"/>
        </w:rPr>
        <w:t>日，基金管理人应于重新开放日，在指定媒介上刊登基金重新开放申购或赎回公告，并公布最近1个开放日的基金份额净值。</w:t>
      </w:r>
    </w:p>
    <w:p w14:paraId="5EE38F14"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3、如发生暂停的时间超过</w:t>
      </w:r>
      <w:r>
        <w:rPr>
          <w:rFonts w:ascii="宋体" w:hAnsi="宋体"/>
          <w:color w:val="000000"/>
          <w:sz w:val="24"/>
        </w:rPr>
        <w:t>1</w:t>
      </w:r>
      <w:r>
        <w:rPr>
          <w:rFonts w:ascii="宋体" w:hAnsi="宋体" w:hint="eastAsia"/>
          <w:color w:val="000000"/>
          <w:sz w:val="24"/>
        </w:rPr>
        <w:t>日，暂停结束，基金重新开放申购或赎回时，基金管理人应提前</w:t>
      </w:r>
      <w:r>
        <w:rPr>
          <w:rFonts w:ascii="宋体" w:hAnsi="宋体"/>
          <w:color w:val="000000"/>
          <w:sz w:val="24"/>
        </w:rPr>
        <w:t>2</w:t>
      </w:r>
      <w:r>
        <w:rPr>
          <w:rFonts w:ascii="宋体" w:hAnsi="宋体" w:hint="eastAsia"/>
          <w:color w:val="000000"/>
          <w:sz w:val="24"/>
        </w:rPr>
        <w:t>日在指定媒介上刊登基金重新开放申购或赎回公告，并公告最近</w:t>
      </w:r>
      <w:r>
        <w:rPr>
          <w:rFonts w:ascii="宋体" w:hAnsi="宋体"/>
          <w:color w:val="000000"/>
          <w:sz w:val="24"/>
        </w:rPr>
        <w:t>1</w:t>
      </w:r>
      <w:r>
        <w:rPr>
          <w:rFonts w:ascii="宋体" w:hAnsi="宋体" w:hint="eastAsia"/>
          <w:color w:val="000000"/>
          <w:sz w:val="24"/>
        </w:rPr>
        <w:t>个开放日的基金份额净值。</w:t>
      </w:r>
    </w:p>
    <w:p w14:paraId="5AF4D4F2"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（十二）基金转换</w:t>
      </w:r>
    </w:p>
    <w:p w14:paraId="7D9A2A37"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E528C2C"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（十三）基金的非交易过户</w:t>
      </w:r>
    </w:p>
    <w:p w14:paraId="5FD84821"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投资人。</w:t>
      </w:r>
    </w:p>
    <w:p w14:paraId="0753F328"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AA3FED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（十四）基金的转托管</w:t>
      </w:r>
    </w:p>
    <w:p w14:paraId="4074C950"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基金份额持有人可办理已持有基金份额在不同销售机构之间的转托管，基金销售机构可以按照规定的标准收取转托管费。</w:t>
      </w:r>
    </w:p>
    <w:p w14:paraId="5B5BCCEA"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（十五）定期定额投资计划</w:t>
      </w:r>
    </w:p>
    <w:p w14:paraId="6BD11874"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lastRenderedPageBreak/>
        <w:t>本基金可通过销售机构为投资人提供定期定额投资的服务，即投资人可通过固定的销售机构，采用定期定额的方式申购基金份额，定期定额投资不受日常最低申购金额限制。定期定额具体实施时间和业务规则详见我公司发布在指定信息披露媒介及公司网站公告。</w:t>
      </w:r>
    </w:p>
    <w:p w14:paraId="4FA4061D" w14:textId="77777777" w:rsidR="00DD2567" w:rsidRDefault="00680E4C">
      <w:pPr>
        <w:snapToGrid w:val="0"/>
        <w:spacing w:line="360" w:lineRule="auto"/>
        <w:ind w:firstLineChars="200" w:firstLine="480"/>
        <w:rPr>
          <w:rFonts w:ascii="宋体" w:hAnsi="宋体"/>
          <w:color w:val="000000"/>
          <w:sz w:val="24"/>
        </w:rPr>
      </w:pPr>
      <w:bookmarkStart w:id="151" w:name="_Toc264630451"/>
      <w:bookmarkStart w:id="152" w:name="_Toc255465878"/>
      <w:bookmarkStart w:id="153" w:name="_Toc255465879"/>
      <w:bookmarkStart w:id="154" w:name="_Toc263881374"/>
      <w:bookmarkStart w:id="155" w:name="_Toc263926709"/>
      <w:bookmarkStart w:id="156" w:name="_Toc264630450"/>
      <w:bookmarkStart w:id="157" w:name="_Toc263881376"/>
      <w:bookmarkStart w:id="158" w:name="_Toc263926711"/>
      <w:bookmarkStart w:id="159" w:name="_Toc264630452"/>
      <w:bookmarkStart w:id="160" w:name="_Toc263881377"/>
      <w:bookmarkStart w:id="161" w:name="_Toc263926712"/>
      <w:bookmarkStart w:id="162" w:name="_Toc264630453"/>
      <w:bookmarkStart w:id="163" w:name="_Toc263011131"/>
      <w:bookmarkStart w:id="164" w:name="_Toc263011132"/>
      <w:bookmarkStart w:id="165" w:name="_Toc263011133"/>
      <w:bookmarkStart w:id="166" w:name="_Toc263011134"/>
      <w:bookmarkStart w:id="167" w:name="_Toc263011135"/>
      <w:bookmarkStart w:id="168" w:name="_Toc263881375"/>
      <w:bookmarkStart w:id="169" w:name="_Toc26392671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Pr>
          <w:rFonts w:ascii="宋体" w:hAnsi="宋体" w:hint="eastAsia"/>
          <w:color w:val="000000"/>
          <w:sz w:val="24"/>
        </w:rPr>
        <w:t>（十六）</w:t>
      </w:r>
      <w:r>
        <w:rPr>
          <w:rFonts w:ascii="宋体" w:hAnsi="宋体"/>
          <w:color w:val="000000"/>
          <w:sz w:val="24"/>
        </w:rPr>
        <w:t>基金的冻结和解冻</w:t>
      </w:r>
    </w:p>
    <w:p w14:paraId="628B56A2" w14:textId="77777777" w:rsidR="00DD2567" w:rsidRDefault="00680E4C">
      <w:pPr>
        <w:snapToGrid w:val="0"/>
        <w:spacing w:line="360" w:lineRule="auto"/>
        <w:ind w:firstLineChars="200" w:firstLine="480"/>
        <w:rPr>
          <w:rFonts w:ascii="宋体" w:hAnsi="宋体"/>
          <w:color w:val="000000"/>
          <w:sz w:val="24"/>
        </w:rPr>
      </w:pPr>
      <w:r>
        <w:rPr>
          <w:rFonts w:ascii="宋体" w:hAnsi="宋体"/>
          <w:color w:val="000000"/>
          <w:sz w:val="24"/>
        </w:rPr>
        <w:t>基金登记机构只受理国家有权机关依法要求的基金份额的冻结与解冻，以及登记机构认可、符合法律法规的其他情况下的冻结与解冻。</w:t>
      </w:r>
    </w:p>
    <w:p w14:paraId="1687655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（十七）基金份额转让</w:t>
      </w:r>
    </w:p>
    <w:p w14:paraId="63485276"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基金份额持有人应根据基金管理人公告的业务规则办理基金份额转让业务。</w:t>
      </w:r>
    </w:p>
    <w:p w14:paraId="6890631D"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（十八）基金份额质押</w:t>
      </w:r>
    </w:p>
    <w:p w14:paraId="06373F1B" w14:textId="77777777" w:rsidR="00DD2567" w:rsidRDefault="00680E4C">
      <w:pPr>
        <w:snapToGrid w:val="0"/>
        <w:spacing w:line="360" w:lineRule="auto"/>
        <w:ind w:firstLineChars="200" w:firstLine="480"/>
        <w:rPr>
          <w:rFonts w:ascii="宋体" w:hAnsi="宋体"/>
          <w:color w:val="000000"/>
          <w:sz w:val="24"/>
        </w:rPr>
      </w:pPr>
      <w:r>
        <w:rPr>
          <w:rFonts w:ascii="宋体" w:hAnsi="宋体" w:hint="eastAsia"/>
          <w:color w:val="000000"/>
          <w:sz w:val="24"/>
        </w:rPr>
        <w:t>如相关法律法规允许登记机构办理基金份额的质押业务或其他基金业务，登记机构将制定和实施相应的业务规则。</w:t>
      </w:r>
    </w:p>
    <w:p w14:paraId="107CB40C" w14:textId="77777777" w:rsidR="00DD2567" w:rsidRDefault="00680E4C">
      <w:pPr>
        <w:pStyle w:val="1"/>
        <w:spacing w:before="0" w:after="0"/>
        <w:jc w:val="center"/>
      </w:pPr>
      <w:bookmarkStart w:id="170" w:name="_Hlt70481650"/>
      <w:bookmarkEnd w:id="170"/>
      <w:r>
        <w:rPr>
          <w:rFonts w:ascii="Times New Roman"/>
          <w:b w:val="0"/>
          <w:bCs/>
          <w:color w:val="auto"/>
        </w:rPr>
        <w:br w:type="page"/>
      </w:r>
      <w:bookmarkStart w:id="171" w:name="_Toc1745"/>
      <w:bookmarkStart w:id="172" w:name="_Toc3963"/>
      <w:bookmarkStart w:id="173" w:name="_Toc98560355"/>
      <w:bookmarkStart w:id="174" w:name="_Toc123051455"/>
      <w:bookmarkStart w:id="175" w:name="_Toc3080"/>
      <w:bookmarkStart w:id="176" w:name="_Toc18206"/>
      <w:bookmarkStart w:id="177" w:name="_Toc725"/>
      <w:bookmarkStart w:id="178" w:name="_Toc3572"/>
      <w:bookmarkStart w:id="179" w:name="_Toc31821"/>
      <w:bookmarkStart w:id="180" w:name="_Toc21735"/>
      <w:bookmarkStart w:id="181" w:name="_Toc123112237"/>
      <w:bookmarkStart w:id="182" w:name="_Toc10398"/>
      <w:bookmarkStart w:id="183" w:name="_Toc123102456"/>
      <w:bookmarkStart w:id="184" w:name="_Toc16164"/>
      <w:bookmarkStart w:id="185" w:name="_Toc139991739"/>
      <w:bookmarkStart w:id="186" w:name="_Toc141703889"/>
      <w:bookmarkStart w:id="187" w:name="_Toc342469898"/>
      <w:r>
        <w:rPr>
          <w:rFonts w:ascii="Times New Roman"/>
          <w:color w:val="auto"/>
          <w:sz w:val="30"/>
        </w:rPr>
        <w:lastRenderedPageBreak/>
        <w:t>第九部分</w:t>
      </w:r>
      <w:r w:rsidR="00C00DE9">
        <w:rPr>
          <w:rFonts w:ascii="Times New Roman" w:hint="eastAsia"/>
          <w:color w:val="auto"/>
          <w:sz w:val="30"/>
        </w:rPr>
        <w:t xml:space="preserve"> </w:t>
      </w:r>
      <w:r>
        <w:rPr>
          <w:rFonts w:ascii="Times New Roman"/>
          <w:color w:val="auto"/>
          <w:sz w:val="30"/>
        </w:rPr>
        <w:t>基金</w:t>
      </w:r>
      <w:r>
        <w:rPr>
          <w:rFonts w:ascii="Times New Roman" w:hint="eastAsia"/>
          <w:color w:val="auto"/>
          <w:sz w:val="30"/>
        </w:rPr>
        <w:t>的投资</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14:paraId="1B13DD8B" w14:textId="77777777" w:rsidR="00DD2567" w:rsidRDefault="00DD2567">
      <w:pPr>
        <w:autoSpaceDE w:val="0"/>
        <w:autoSpaceDN w:val="0"/>
        <w:spacing w:line="360" w:lineRule="auto"/>
        <w:textAlignment w:val="bottom"/>
        <w:rPr>
          <w:bCs/>
          <w:sz w:val="24"/>
        </w:rPr>
      </w:pPr>
      <w:bookmarkStart w:id="188" w:name="_Toc79392593"/>
      <w:bookmarkStart w:id="189" w:name="_Toc57530252"/>
      <w:bookmarkStart w:id="190" w:name="_Toc15118245"/>
    </w:p>
    <w:p w14:paraId="6426E547" w14:textId="77777777" w:rsidR="00DD2567" w:rsidRDefault="00680E4C">
      <w:pPr>
        <w:spacing w:line="408" w:lineRule="auto"/>
        <w:ind w:firstLineChars="200" w:firstLine="480"/>
        <w:rPr>
          <w:bCs/>
          <w:sz w:val="24"/>
        </w:rPr>
      </w:pPr>
      <w:r>
        <w:rPr>
          <w:bCs/>
          <w:sz w:val="24"/>
        </w:rPr>
        <w:t>一、投资目标</w:t>
      </w:r>
    </w:p>
    <w:p w14:paraId="4336AF15" w14:textId="77777777" w:rsidR="00DD2567" w:rsidRDefault="00680E4C">
      <w:pPr>
        <w:spacing w:line="408" w:lineRule="auto"/>
        <w:ind w:firstLineChars="200" w:firstLine="480"/>
        <w:rPr>
          <w:rFonts w:ascii="宋体" w:hAnsi="宋体"/>
          <w:bCs/>
          <w:sz w:val="24"/>
        </w:rPr>
      </w:pPr>
      <w:r>
        <w:rPr>
          <w:rFonts w:ascii="宋体" w:hAnsi="宋体" w:hint="eastAsia"/>
          <w:bCs/>
          <w:sz w:val="24"/>
        </w:rPr>
        <w:t>本基金力求通过准确把握中国经济周期变动特征，挖掘不同经济周期阶段下优势资产及行业投资机会，在严格控制风险的前提下，追求基金资产的长期、稳定增值。</w:t>
      </w:r>
    </w:p>
    <w:p w14:paraId="23E78DC0" w14:textId="77777777" w:rsidR="00DD2567" w:rsidRDefault="00680E4C">
      <w:pPr>
        <w:spacing w:line="408" w:lineRule="auto"/>
        <w:ind w:firstLineChars="200" w:firstLine="480"/>
        <w:rPr>
          <w:rFonts w:ascii="宋体" w:hAnsi="宋体"/>
          <w:bCs/>
          <w:sz w:val="24"/>
        </w:rPr>
      </w:pPr>
      <w:r>
        <w:rPr>
          <w:rFonts w:ascii="宋体" w:hAnsi="宋体"/>
          <w:bCs/>
          <w:sz w:val="24"/>
        </w:rPr>
        <w:t>二、投资范围</w:t>
      </w:r>
    </w:p>
    <w:p w14:paraId="0535BF6B" w14:textId="77777777" w:rsidR="00DD2567" w:rsidRDefault="00680E4C">
      <w:pPr>
        <w:spacing w:line="408" w:lineRule="auto"/>
        <w:ind w:firstLine="480"/>
        <w:rPr>
          <w:rFonts w:ascii="宋体" w:hAnsi="宋体"/>
          <w:bCs/>
          <w:sz w:val="24"/>
        </w:rPr>
      </w:pPr>
      <w:r>
        <w:rPr>
          <w:rFonts w:ascii="宋体" w:hAnsi="宋体" w:hint="eastAsia"/>
          <w:bCs/>
          <w:sz w:val="24"/>
        </w:rPr>
        <w:t>本基金的投资范围为具有良好流动性的金融工具，包括国内依法发行上市的股票（包含中小板、创业板及其他经中国证监会核准上市的股票）、债券（包含中小企业私募债券）、中期票据、股指期货、权证、资产支持证券以及法律法规或中国证监会允许基金投资的其他金融工具(但须符合中国证监会相关规定)。</w:t>
      </w:r>
    </w:p>
    <w:p w14:paraId="7D411B2B" w14:textId="77777777" w:rsidR="00DD2567" w:rsidRDefault="00680E4C">
      <w:pPr>
        <w:spacing w:line="408" w:lineRule="auto"/>
        <w:ind w:firstLine="480"/>
        <w:rPr>
          <w:rFonts w:ascii="宋体" w:hAnsi="宋体"/>
          <w:bCs/>
          <w:sz w:val="24"/>
        </w:rPr>
      </w:pPr>
      <w:r>
        <w:rPr>
          <w:rFonts w:ascii="宋体" w:hAnsi="宋体" w:hint="eastAsia"/>
          <w:bCs/>
          <w:sz w:val="24"/>
        </w:rPr>
        <w:t>基金的投资组合比例为：股票资产占基金资产的比例范围为0%-95%；债券资产、货币市场工具、权证、资产支持证券以及法律法规或中国证监会允许基金投资的其他证券品种以及其他资产占基金资产的比例范围为5%-100%，其中基金持有全部权证的市值不超过基金资产净值的3%，每个交易日日终在扣除股指期货保证金以后基金保留的现金或到期日在一年以内的政府债券比例合计不低于基金资产净值的5%。</w:t>
      </w:r>
    </w:p>
    <w:p w14:paraId="45BC2A7F" w14:textId="77777777" w:rsidR="00DD2567" w:rsidRDefault="00680E4C">
      <w:pPr>
        <w:spacing w:line="408" w:lineRule="auto"/>
        <w:ind w:firstLine="480"/>
        <w:rPr>
          <w:rFonts w:ascii="宋体" w:hAnsi="宋体"/>
          <w:bCs/>
          <w:sz w:val="24"/>
        </w:rPr>
      </w:pPr>
      <w:r>
        <w:rPr>
          <w:rFonts w:ascii="宋体" w:hAnsi="宋体" w:hint="eastAsia"/>
          <w:bCs/>
          <w:sz w:val="24"/>
        </w:rPr>
        <w:t>如法律法规或监管机构以后允许基金投资其他品种，基金管理人在履行适当程序后，可以将其纳入投资范围。</w:t>
      </w:r>
    </w:p>
    <w:p w14:paraId="5EB716F0" w14:textId="77777777" w:rsidR="00DD2567" w:rsidRDefault="00680E4C">
      <w:pPr>
        <w:spacing w:line="408" w:lineRule="auto"/>
        <w:ind w:firstLineChars="200" w:firstLine="480"/>
        <w:rPr>
          <w:rFonts w:ascii="宋体" w:hAnsi="宋体"/>
          <w:bCs/>
          <w:sz w:val="24"/>
        </w:rPr>
      </w:pPr>
      <w:r>
        <w:rPr>
          <w:rFonts w:ascii="宋体" w:hAnsi="宋体"/>
          <w:bCs/>
          <w:sz w:val="24"/>
        </w:rPr>
        <w:t>三、投资策略</w:t>
      </w:r>
    </w:p>
    <w:p w14:paraId="30F7D5FF" w14:textId="77777777" w:rsidR="00DD2567" w:rsidRDefault="00680E4C">
      <w:pPr>
        <w:spacing w:line="408" w:lineRule="auto"/>
        <w:ind w:firstLineChars="200" w:firstLine="480"/>
        <w:rPr>
          <w:rFonts w:ascii="宋体" w:hAnsi="宋体"/>
          <w:bCs/>
          <w:sz w:val="24"/>
        </w:rPr>
      </w:pPr>
      <w:r>
        <w:rPr>
          <w:rFonts w:ascii="宋体" w:hAnsi="宋体" w:hint="eastAsia"/>
          <w:bCs/>
          <w:sz w:val="24"/>
        </w:rPr>
        <w:t>本基金采用定量分析和定性分析相结合的方法，深入研究我国经济周期当前所处阶段（复苏、扩张、滞胀和衰退）及未来发展方向，确定不同经济周期阶段下的资产配置和行业投资策略，在有效控制风险的前提下，精选优质上市公司股票构建投资组合，力求获得较高的投资收益。</w:t>
      </w:r>
    </w:p>
    <w:p w14:paraId="2ED96530" w14:textId="77777777" w:rsidR="00DD2567" w:rsidRDefault="00680E4C">
      <w:pPr>
        <w:spacing w:line="408" w:lineRule="auto"/>
        <w:ind w:firstLineChars="200" w:firstLine="480"/>
        <w:rPr>
          <w:rFonts w:ascii="宋体" w:hAnsi="宋体"/>
          <w:bCs/>
          <w:sz w:val="24"/>
        </w:rPr>
      </w:pPr>
      <w:r>
        <w:rPr>
          <w:rFonts w:ascii="宋体" w:hAnsi="宋体" w:hint="eastAsia"/>
          <w:bCs/>
          <w:sz w:val="24"/>
        </w:rPr>
        <w:t>1、经济周期阶段的判断</w:t>
      </w:r>
    </w:p>
    <w:p w14:paraId="650BBC33" w14:textId="77777777" w:rsidR="00DD2567" w:rsidRDefault="00680E4C">
      <w:pPr>
        <w:snapToGrid w:val="0"/>
        <w:spacing w:line="408" w:lineRule="auto"/>
        <w:ind w:firstLineChars="200" w:firstLine="480"/>
        <w:rPr>
          <w:rFonts w:ascii="宋体" w:hAnsi="宋体" w:cs="Arial"/>
          <w:color w:val="000000"/>
          <w:sz w:val="24"/>
        </w:rPr>
      </w:pPr>
      <w:r>
        <w:rPr>
          <w:rFonts w:ascii="宋体" w:hAnsi="宋体" w:cs="Arial" w:hint="eastAsia"/>
          <w:color w:val="000000"/>
          <w:sz w:val="24"/>
        </w:rPr>
        <w:t>本基金以浙商经济周期指数模型为基础，深入分析相对长期趋势的经济增长</w:t>
      </w:r>
      <w:r>
        <w:rPr>
          <w:rFonts w:ascii="宋体" w:hAnsi="宋体" w:cs="Arial" w:hint="eastAsia"/>
          <w:color w:val="000000"/>
          <w:sz w:val="24"/>
        </w:rPr>
        <w:lastRenderedPageBreak/>
        <w:t>和通货膨胀的变动方向，综合判断中国经济周期所处阶段，为大类资产配置提供自上而下的分析框架。</w:t>
      </w:r>
    </w:p>
    <w:p w14:paraId="0E3FE199" w14:textId="77777777" w:rsidR="00DD2567" w:rsidRDefault="00680E4C">
      <w:pPr>
        <w:snapToGrid w:val="0"/>
        <w:spacing w:line="408" w:lineRule="auto"/>
        <w:ind w:firstLineChars="200" w:firstLine="480"/>
        <w:rPr>
          <w:rFonts w:ascii="宋体" w:hAnsi="宋体" w:cs="Arial"/>
          <w:color w:val="000000"/>
          <w:sz w:val="24"/>
        </w:rPr>
      </w:pPr>
      <w:r>
        <w:rPr>
          <w:rFonts w:ascii="宋体" w:hAnsi="宋体" w:cs="Arial" w:hint="eastAsia"/>
          <w:color w:val="000000"/>
          <w:sz w:val="24"/>
        </w:rPr>
        <w:t>浙商经济周期指数模型以投资时钟理论为基础，观察相对长期趋势的经济增长和通货膨胀的方向，将中国经济周期划分为四个阶段：复苏（增长向上、通胀向下）、扩张（增长向上、通胀向上）、滞胀（增长向下、通胀向上）、衰退（增长向下、通胀向下）。针对相对长期趋势的经济增长的判断：本基金重点关注GDP增速、工业增加值增速、宏观经济景气指数、库存、PMI指数、产能利用率指标、财政政策、货币政策等指标；针对通货膨胀的判断：本基金重点关注CPI、PPI、M1和M2增速、能源和大宗商品价格水平等指标。</w:t>
      </w:r>
    </w:p>
    <w:p w14:paraId="43BE61BB" w14:textId="77777777" w:rsidR="00DD2567" w:rsidRDefault="00680E4C">
      <w:pPr>
        <w:spacing w:line="408" w:lineRule="auto"/>
        <w:ind w:firstLineChars="200" w:firstLine="480"/>
        <w:rPr>
          <w:rFonts w:ascii="宋体" w:hAnsi="宋体"/>
          <w:bCs/>
          <w:sz w:val="24"/>
        </w:rPr>
      </w:pPr>
      <w:r>
        <w:rPr>
          <w:rFonts w:ascii="宋体" w:hAnsi="宋体" w:cs="Arial" w:hint="eastAsia"/>
          <w:color w:val="000000"/>
          <w:sz w:val="24"/>
        </w:rPr>
        <w:t>同时，本基金挑选出我国经济周期各阶段下的代表性行业构建经济周期阶段指数。在复苏阶段，股票是重点配置品种，本基金选择基本面数据（毛利率等指标）与股票市场相关性较高的行业构建复苏阶段指数；在扩张阶段，大宗商品成为该阶段的优势投资标的，本基金选择与大宗商品价格相关性较高的行业构建扩张阶段指数；在滞胀阶段，在此阶段现金是最佳投资标的，本基金选取与黄金价格相关性较高的行业构建滞胀阶段指数；在衰退阶段，债券是重点配置品种，本基金选取与债券收益率相关性较高的行业构建衰退阶段指数。通过观察经济周期各阶段指数走势，准确把握经济周期变化趋势。在经济由复苏逐步走向扩张阶段时，经济增长触底回升并逐渐过渡到高增长、高通胀阶段，本基金将增加股票资产的投资并保持较高的股票资产配置比例；在经济由扩张转向滞胀时，物价高企，企业盈利受到需求萎缩带来的冲击，本基金将降低股票资产的投资比例；在经济进入衰退阶段时，经济增长下滑，通货膨胀逐渐回落，利率下降，本基金将增加固定收益类资产的配置比例。</w:t>
      </w:r>
    </w:p>
    <w:p w14:paraId="79B810C8" w14:textId="77777777" w:rsidR="00DD2567" w:rsidRDefault="00680E4C">
      <w:pPr>
        <w:spacing w:line="408" w:lineRule="auto"/>
        <w:ind w:firstLineChars="200" w:firstLine="480"/>
        <w:rPr>
          <w:rFonts w:ascii="宋体" w:hAnsi="宋体"/>
          <w:bCs/>
          <w:sz w:val="24"/>
        </w:rPr>
      </w:pPr>
      <w:r>
        <w:rPr>
          <w:rFonts w:ascii="宋体" w:hAnsi="宋体" w:hint="eastAsia"/>
          <w:bCs/>
          <w:sz w:val="24"/>
        </w:rPr>
        <w:t>2、基于经济周期的股票投资策略</w:t>
      </w:r>
    </w:p>
    <w:p w14:paraId="2568BE4C" w14:textId="77777777" w:rsidR="00DD2567" w:rsidRDefault="00680E4C">
      <w:pPr>
        <w:spacing w:line="408" w:lineRule="auto"/>
        <w:ind w:firstLineChars="200" w:firstLine="480"/>
        <w:rPr>
          <w:rFonts w:ascii="宋体" w:hAnsi="宋体"/>
          <w:bCs/>
          <w:sz w:val="24"/>
        </w:rPr>
      </w:pPr>
      <w:r>
        <w:rPr>
          <w:rFonts w:ascii="宋体" w:hAnsi="宋体" w:cs="Arial" w:hint="eastAsia"/>
          <w:color w:val="000000"/>
          <w:sz w:val="24"/>
        </w:rPr>
        <w:t>本基金将依托自上而下的研究路径构建股票投资组合。在深入把握经济周期波动导致的行业景气度及企业盈利的变化与股票市场之间的关系的基础上，制定并优化行业配置结构，精选优势行业中的优势上市公司股票构建投资组合，以提</w:t>
      </w:r>
      <w:r>
        <w:rPr>
          <w:rFonts w:ascii="宋体" w:hAnsi="宋体" w:cs="Arial" w:hint="eastAsia"/>
          <w:color w:val="000000"/>
          <w:sz w:val="24"/>
        </w:rPr>
        <w:lastRenderedPageBreak/>
        <w:t>高投资组合的收益水平。</w:t>
      </w:r>
    </w:p>
    <w:p w14:paraId="3E5923FB" w14:textId="77777777" w:rsidR="00DD2567" w:rsidRDefault="00680E4C">
      <w:pPr>
        <w:spacing w:line="408" w:lineRule="auto"/>
        <w:ind w:firstLineChars="200" w:firstLine="480"/>
        <w:rPr>
          <w:rFonts w:ascii="宋体" w:hAnsi="宋体"/>
          <w:bCs/>
          <w:sz w:val="24"/>
        </w:rPr>
      </w:pPr>
      <w:r>
        <w:rPr>
          <w:rFonts w:ascii="宋体" w:hAnsi="宋体" w:hint="eastAsia"/>
          <w:bCs/>
          <w:sz w:val="24"/>
        </w:rPr>
        <w:t>（1）行业轮动策略</w:t>
      </w:r>
    </w:p>
    <w:p w14:paraId="7CC61AC3" w14:textId="77777777" w:rsidR="00DD2567" w:rsidRDefault="00680E4C">
      <w:pPr>
        <w:spacing w:line="408" w:lineRule="auto"/>
        <w:ind w:firstLineChars="200" w:firstLine="480"/>
        <w:rPr>
          <w:rFonts w:ascii="宋体" w:hAnsi="宋体"/>
          <w:bCs/>
          <w:sz w:val="24"/>
        </w:rPr>
      </w:pPr>
      <w:r>
        <w:rPr>
          <w:rFonts w:ascii="宋体" w:hAnsi="宋体" w:hint="eastAsia"/>
          <w:bCs/>
          <w:sz w:val="24"/>
        </w:rPr>
        <w:t>在经济周期的不同阶段，各个行业的营运能力、盈利状况等存在差异，从而呈现出不同的行业景气程度，并在证券市场上表现出行业轮动的特征。本基金将在投资时钟理论的基础上，深入研究宏观经济周期变化趋势，通过准确判断经济周期所处阶段，优化行业配置结构。</w:t>
      </w:r>
    </w:p>
    <w:p w14:paraId="56FDAF16" w14:textId="77777777" w:rsidR="00DD2567" w:rsidRDefault="00680E4C">
      <w:pPr>
        <w:spacing w:line="408" w:lineRule="auto"/>
        <w:ind w:firstLineChars="200" w:firstLine="480"/>
        <w:rPr>
          <w:rFonts w:ascii="宋体" w:hAnsi="宋体"/>
          <w:bCs/>
          <w:sz w:val="24"/>
        </w:rPr>
      </w:pPr>
      <w:r>
        <w:rPr>
          <w:rFonts w:ascii="宋体" w:hAnsi="宋体" w:hint="eastAsia"/>
          <w:bCs/>
          <w:sz w:val="24"/>
        </w:rPr>
        <w:t>在经济相对增长趋势向上阶段，需求充沛，因此议价能力出色的行业将取得更好的盈利表现，重点考察毛利率、主营业务收入相对成本的弹性等指标；在通货膨胀向上阶段，价格增长趋势明确，因此需求稳定行业的业绩表现更为稳定，重点考察主营业务收入稳定性、存货周转率等指标；在经济相对增长趋势及通胀趋势均向下的阶段，现金流充裕、偿债能力较强的行业业绩风险较低，同时提早关注受益于经济结构调整的支柱产业及行业内部整合较完善的早周期行业。</w:t>
      </w:r>
    </w:p>
    <w:p w14:paraId="5D32CFC2" w14:textId="77777777" w:rsidR="00DD2567" w:rsidRDefault="00680E4C">
      <w:pPr>
        <w:spacing w:line="408" w:lineRule="auto"/>
        <w:ind w:firstLineChars="200" w:firstLine="480"/>
        <w:rPr>
          <w:rFonts w:ascii="宋体" w:hAnsi="宋体"/>
          <w:bCs/>
          <w:sz w:val="24"/>
        </w:rPr>
      </w:pPr>
      <w:r>
        <w:rPr>
          <w:rFonts w:ascii="宋体" w:hAnsi="宋体" w:hint="eastAsia"/>
          <w:bCs/>
          <w:sz w:val="24"/>
        </w:rPr>
        <w:t>（2）个股精选策略</w:t>
      </w:r>
    </w:p>
    <w:p w14:paraId="01592D7B" w14:textId="77777777" w:rsidR="00DD2567" w:rsidRDefault="00680E4C">
      <w:pPr>
        <w:spacing w:line="408" w:lineRule="auto"/>
        <w:ind w:firstLineChars="200" w:firstLine="480"/>
        <w:rPr>
          <w:rFonts w:ascii="宋体" w:hAnsi="宋体"/>
          <w:bCs/>
          <w:sz w:val="24"/>
        </w:rPr>
      </w:pPr>
      <w:r>
        <w:rPr>
          <w:rFonts w:ascii="宋体" w:hAnsi="宋体" w:hint="eastAsia"/>
          <w:bCs/>
          <w:sz w:val="24"/>
        </w:rPr>
        <w:t>本基金将在行业轮动策略的框架下，采用基本面分析和实地调研相结合的研究方法，挖掘相对强势行业中获益程度较高的优势个股构建投资组合，在获取行业配置收益的基础上，通过个股精选策略，进一步提升投资组合收益。</w:t>
      </w:r>
    </w:p>
    <w:p w14:paraId="55327FA7" w14:textId="77777777" w:rsidR="00DD2567" w:rsidRDefault="00680E4C">
      <w:pPr>
        <w:spacing w:line="408" w:lineRule="auto"/>
        <w:ind w:firstLineChars="200" w:firstLine="480"/>
        <w:rPr>
          <w:rFonts w:ascii="宋体" w:hAnsi="宋体"/>
          <w:bCs/>
          <w:sz w:val="24"/>
        </w:rPr>
      </w:pPr>
      <w:r>
        <w:rPr>
          <w:rFonts w:ascii="宋体" w:hAnsi="宋体" w:hint="eastAsia"/>
          <w:bCs/>
          <w:sz w:val="24"/>
        </w:rPr>
        <w:t>在挑选优势个股的过程中，本基金将从公司行业地位、公司内部结构、公司财务状况、公司股票估值等几方面进行综合评估：</w:t>
      </w:r>
    </w:p>
    <w:p w14:paraId="0D581DD0" w14:textId="77777777" w:rsidR="00DD2567" w:rsidRDefault="004B4E0E">
      <w:pPr>
        <w:spacing w:line="408" w:lineRule="auto"/>
        <w:ind w:firstLineChars="200" w:firstLine="480"/>
        <w:rPr>
          <w:rFonts w:ascii="宋体" w:hAnsi="宋体"/>
          <w:bCs/>
          <w:sz w:val="24"/>
        </w:rPr>
      </w:pPr>
      <w:r>
        <w:rPr>
          <w:rFonts w:ascii="宋体" w:hAnsi="宋体"/>
          <w:bCs/>
          <w:sz w:val="24"/>
        </w:rPr>
        <w:fldChar w:fldCharType="begin"/>
      </w:r>
      <w:r w:rsidR="00680E4C">
        <w:rPr>
          <w:rFonts w:ascii="宋体" w:hAnsi="宋体" w:hint="eastAsia"/>
          <w:bCs/>
          <w:sz w:val="24"/>
        </w:rPr>
        <w:instrText>= 1 \* GB3</w:instrText>
      </w:r>
      <w:r>
        <w:rPr>
          <w:rFonts w:ascii="宋体" w:hAnsi="宋体"/>
          <w:bCs/>
          <w:sz w:val="24"/>
        </w:rPr>
        <w:fldChar w:fldCharType="separate"/>
      </w:r>
      <w:r w:rsidR="00680E4C">
        <w:rPr>
          <w:rFonts w:ascii="宋体" w:hAnsi="宋体" w:hint="eastAsia"/>
          <w:bCs/>
          <w:sz w:val="24"/>
        </w:rPr>
        <w:t>①</w:t>
      </w:r>
      <w:r>
        <w:rPr>
          <w:rFonts w:ascii="宋体" w:hAnsi="宋体"/>
          <w:bCs/>
          <w:sz w:val="24"/>
        </w:rPr>
        <w:fldChar w:fldCharType="end"/>
      </w:r>
      <w:r w:rsidR="00680E4C">
        <w:rPr>
          <w:rFonts w:ascii="宋体" w:hAnsi="宋体" w:hint="eastAsia"/>
          <w:bCs/>
          <w:sz w:val="24"/>
        </w:rPr>
        <w:t>公司行业地位</w:t>
      </w:r>
      <w:r w:rsidR="00680E4C">
        <w:rPr>
          <w:rFonts w:ascii="宋体" w:hAnsi="宋体"/>
          <w:bCs/>
          <w:sz w:val="24"/>
        </w:rPr>
        <w:t>：</w:t>
      </w:r>
      <w:r w:rsidR="00680E4C">
        <w:rPr>
          <w:rFonts w:ascii="宋体" w:hAnsi="宋体" w:hint="eastAsia"/>
          <w:bCs/>
          <w:sz w:val="24"/>
        </w:rPr>
        <w:t>综合考虑产品</w:t>
      </w:r>
      <w:r w:rsidR="00680E4C">
        <w:rPr>
          <w:rFonts w:ascii="宋体" w:hAnsi="宋体"/>
          <w:bCs/>
          <w:sz w:val="24"/>
        </w:rPr>
        <w:t>市场占有</w:t>
      </w:r>
      <w:r w:rsidR="00680E4C">
        <w:rPr>
          <w:rFonts w:ascii="宋体" w:hAnsi="宋体" w:hint="eastAsia"/>
          <w:bCs/>
          <w:sz w:val="24"/>
        </w:rPr>
        <w:t>率、</w:t>
      </w:r>
      <w:r w:rsidR="00680E4C">
        <w:rPr>
          <w:rFonts w:ascii="宋体" w:hAnsi="宋体"/>
          <w:bCs/>
          <w:sz w:val="24"/>
        </w:rPr>
        <w:t>资源优势、技术优势、渠道优势、品牌</w:t>
      </w:r>
      <w:r w:rsidR="00680E4C">
        <w:rPr>
          <w:rFonts w:ascii="宋体" w:hAnsi="宋体" w:hint="eastAsia"/>
          <w:bCs/>
          <w:sz w:val="24"/>
        </w:rPr>
        <w:t>价值</w:t>
      </w:r>
      <w:r w:rsidR="00680E4C">
        <w:rPr>
          <w:rFonts w:ascii="宋体" w:hAnsi="宋体"/>
          <w:bCs/>
          <w:sz w:val="24"/>
        </w:rPr>
        <w:t>等</w:t>
      </w:r>
      <w:r w:rsidR="00680E4C">
        <w:rPr>
          <w:rFonts w:ascii="宋体" w:hAnsi="宋体" w:hint="eastAsia"/>
          <w:bCs/>
          <w:sz w:val="24"/>
        </w:rPr>
        <w:t>因素</w:t>
      </w:r>
      <w:r w:rsidR="00680E4C">
        <w:rPr>
          <w:rFonts w:ascii="宋体" w:hAnsi="宋体"/>
          <w:bCs/>
          <w:sz w:val="24"/>
        </w:rPr>
        <w:t>。</w:t>
      </w:r>
    </w:p>
    <w:p w14:paraId="087C61F9" w14:textId="77777777" w:rsidR="00DD2567" w:rsidRDefault="004B4E0E">
      <w:pPr>
        <w:spacing w:line="408" w:lineRule="auto"/>
        <w:ind w:firstLineChars="200" w:firstLine="480"/>
        <w:rPr>
          <w:rFonts w:ascii="宋体" w:hAnsi="宋体"/>
          <w:bCs/>
          <w:sz w:val="24"/>
        </w:rPr>
      </w:pPr>
      <w:r>
        <w:rPr>
          <w:rFonts w:ascii="宋体" w:hAnsi="宋体"/>
          <w:bCs/>
          <w:sz w:val="24"/>
        </w:rPr>
        <w:fldChar w:fldCharType="begin"/>
      </w:r>
      <w:r w:rsidR="00680E4C">
        <w:rPr>
          <w:rFonts w:ascii="宋体" w:hAnsi="宋体" w:hint="eastAsia"/>
          <w:bCs/>
          <w:sz w:val="24"/>
        </w:rPr>
        <w:instrText>= 2 \* GB3</w:instrText>
      </w:r>
      <w:r>
        <w:rPr>
          <w:rFonts w:ascii="宋体" w:hAnsi="宋体"/>
          <w:bCs/>
          <w:sz w:val="24"/>
        </w:rPr>
        <w:fldChar w:fldCharType="separate"/>
      </w:r>
      <w:r w:rsidR="00680E4C">
        <w:rPr>
          <w:rFonts w:ascii="宋体" w:hAnsi="宋体" w:hint="eastAsia"/>
          <w:bCs/>
          <w:sz w:val="24"/>
        </w:rPr>
        <w:t>②</w:t>
      </w:r>
      <w:r>
        <w:rPr>
          <w:rFonts w:ascii="宋体" w:hAnsi="宋体"/>
          <w:bCs/>
          <w:sz w:val="24"/>
        </w:rPr>
        <w:fldChar w:fldCharType="end"/>
      </w:r>
      <w:r w:rsidR="00680E4C">
        <w:rPr>
          <w:rFonts w:ascii="宋体" w:hAnsi="宋体"/>
          <w:bCs/>
          <w:sz w:val="24"/>
        </w:rPr>
        <w:t>公司</w:t>
      </w:r>
      <w:r w:rsidR="00680E4C">
        <w:rPr>
          <w:rFonts w:ascii="宋体" w:hAnsi="宋体" w:hint="eastAsia"/>
          <w:bCs/>
          <w:sz w:val="24"/>
        </w:rPr>
        <w:t>内部结构</w:t>
      </w:r>
      <w:r w:rsidR="00680E4C">
        <w:rPr>
          <w:rFonts w:ascii="宋体" w:hAnsi="宋体"/>
          <w:bCs/>
          <w:sz w:val="24"/>
        </w:rPr>
        <w:t>：</w:t>
      </w:r>
      <w:r w:rsidR="00680E4C">
        <w:rPr>
          <w:rFonts w:ascii="宋体" w:hAnsi="宋体" w:hint="eastAsia"/>
          <w:bCs/>
          <w:sz w:val="24"/>
        </w:rPr>
        <w:t>综合考虑</w:t>
      </w:r>
      <w:r w:rsidR="00680E4C">
        <w:rPr>
          <w:rFonts w:ascii="宋体" w:hAnsi="宋体"/>
          <w:bCs/>
          <w:sz w:val="24"/>
        </w:rPr>
        <w:t>公司治理结构、管理</w:t>
      </w:r>
      <w:r w:rsidR="00680E4C">
        <w:rPr>
          <w:rFonts w:ascii="宋体" w:hAnsi="宋体" w:hint="eastAsia"/>
          <w:bCs/>
          <w:sz w:val="24"/>
        </w:rPr>
        <w:t>层素质、激励机制、</w:t>
      </w:r>
      <w:r w:rsidR="00680E4C">
        <w:rPr>
          <w:rFonts w:ascii="宋体" w:hAnsi="宋体"/>
          <w:bCs/>
          <w:sz w:val="24"/>
        </w:rPr>
        <w:t>发展战略、</w:t>
      </w:r>
      <w:r w:rsidR="00680E4C">
        <w:rPr>
          <w:rFonts w:ascii="宋体" w:hAnsi="宋体" w:hint="eastAsia"/>
          <w:bCs/>
          <w:sz w:val="24"/>
        </w:rPr>
        <w:t>商业模式等因素</w:t>
      </w:r>
      <w:r w:rsidR="00680E4C">
        <w:rPr>
          <w:rFonts w:ascii="宋体" w:hAnsi="宋体"/>
          <w:bCs/>
          <w:sz w:val="24"/>
        </w:rPr>
        <w:t>。</w:t>
      </w:r>
    </w:p>
    <w:p w14:paraId="26C743C8" w14:textId="77777777" w:rsidR="00DD2567" w:rsidRDefault="004B4E0E">
      <w:pPr>
        <w:spacing w:line="408" w:lineRule="auto"/>
        <w:ind w:firstLineChars="200" w:firstLine="480"/>
        <w:rPr>
          <w:rFonts w:ascii="宋体" w:hAnsi="宋体"/>
          <w:bCs/>
          <w:sz w:val="24"/>
        </w:rPr>
      </w:pPr>
      <w:r>
        <w:rPr>
          <w:rFonts w:ascii="宋体" w:hAnsi="宋体"/>
          <w:bCs/>
          <w:sz w:val="24"/>
        </w:rPr>
        <w:fldChar w:fldCharType="begin"/>
      </w:r>
      <w:r w:rsidR="00680E4C">
        <w:rPr>
          <w:rFonts w:ascii="宋体" w:hAnsi="宋体" w:hint="eastAsia"/>
          <w:bCs/>
          <w:sz w:val="24"/>
        </w:rPr>
        <w:instrText>= 3 \* GB3</w:instrText>
      </w:r>
      <w:r>
        <w:rPr>
          <w:rFonts w:ascii="宋体" w:hAnsi="宋体"/>
          <w:bCs/>
          <w:sz w:val="24"/>
        </w:rPr>
        <w:fldChar w:fldCharType="separate"/>
      </w:r>
      <w:r w:rsidR="00680E4C">
        <w:rPr>
          <w:rFonts w:ascii="宋体" w:hAnsi="宋体" w:hint="eastAsia"/>
          <w:bCs/>
          <w:sz w:val="24"/>
        </w:rPr>
        <w:t>③</w:t>
      </w:r>
      <w:r>
        <w:rPr>
          <w:rFonts w:ascii="宋体" w:hAnsi="宋体"/>
          <w:bCs/>
          <w:sz w:val="24"/>
        </w:rPr>
        <w:fldChar w:fldCharType="end"/>
      </w:r>
      <w:r w:rsidR="00680E4C">
        <w:rPr>
          <w:rFonts w:ascii="宋体" w:hAnsi="宋体"/>
          <w:bCs/>
          <w:sz w:val="24"/>
        </w:rPr>
        <w:t>公司</w:t>
      </w:r>
      <w:r w:rsidR="00680E4C">
        <w:rPr>
          <w:rFonts w:ascii="宋体" w:hAnsi="宋体" w:hint="eastAsia"/>
          <w:bCs/>
          <w:sz w:val="24"/>
        </w:rPr>
        <w:t>财务状况</w:t>
      </w:r>
      <w:r w:rsidR="00680E4C">
        <w:rPr>
          <w:rFonts w:ascii="宋体" w:hAnsi="宋体"/>
          <w:bCs/>
          <w:sz w:val="24"/>
        </w:rPr>
        <w:t>：</w:t>
      </w:r>
      <w:r w:rsidR="00680E4C">
        <w:rPr>
          <w:rFonts w:ascii="宋体" w:hAnsi="宋体" w:hint="eastAsia"/>
          <w:bCs/>
          <w:sz w:val="24"/>
        </w:rPr>
        <w:t>分别从盈利能力（毛利率、净利率、净资产收益率等指标）、收益质量（净收益营运指数、现金营运指数等指标）、资本结构（资产负债率、流动资产占比等指标）、营运能力（总资产周转率、存货周期、应收账款周期等指标）及成长能力（营业收入同比增长率、净利润同比增长率等指标），综合把</w:t>
      </w:r>
      <w:r w:rsidR="00680E4C">
        <w:rPr>
          <w:rFonts w:ascii="宋体" w:hAnsi="宋体" w:hint="eastAsia"/>
          <w:bCs/>
          <w:sz w:val="24"/>
        </w:rPr>
        <w:lastRenderedPageBreak/>
        <w:t>握公司经营状况及盈利预期</w:t>
      </w:r>
      <w:r w:rsidR="00680E4C">
        <w:rPr>
          <w:rFonts w:ascii="宋体" w:hAnsi="宋体"/>
          <w:bCs/>
          <w:sz w:val="24"/>
        </w:rPr>
        <w:t>。</w:t>
      </w:r>
    </w:p>
    <w:p w14:paraId="45801D95" w14:textId="77777777" w:rsidR="00DD2567" w:rsidRDefault="004B4E0E">
      <w:pPr>
        <w:spacing w:line="408" w:lineRule="auto"/>
        <w:ind w:firstLineChars="200" w:firstLine="480"/>
        <w:rPr>
          <w:rFonts w:ascii="宋体" w:hAnsi="宋体"/>
          <w:bCs/>
          <w:sz w:val="24"/>
        </w:rPr>
      </w:pPr>
      <w:r>
        <w:rPr>
          <w:rFonts w:ascii="宋体" w:hAnsi="宋体"/>
          <w:bCs/>
          <w:sz w:val="24"/>
        </w:rPr>
        <w:fldChar w:fldCharType="begin"/>
      </w:r>
      <w:r w:rsidR="00680E4C">
        <w:rPr>
          <w:rFonts w:ascii="宋体" w:hAnsi="宋体"/>
          <w:bCs/>
          <w:sz w:val="24"/>
        </w:rPr>
        <w:instrText xml:space="preserve"> = 4 \* GB3 </w:instrText>
      </w:r>
      <w:r>
        <w:rPr>
          <w:rFonts w:ascii="宋体" w:hAnsi="宋体"/>
          <w:bCs/>
          <w:sz w:val="24"/>
        </w:rPr>
        <w:fldChar w:fldCharType="separate"/>
      </w:r>
      <w:r w:rsidR="00680E4C">
        <w:rPr>
          <w:rFonts w:ascii="宋体" w:hAnsi="宋体" w:hint="eastAsia"/>
          <w:bCs/>
          <w:sz w:val="24"/>
        </w:rPr>
        <w:t>④</w:t>
      </w:r>
      <w:r>
        <w:rPr>
          <w:rFonts w:ascii="宋体" w:hAnsi="宋体"/>
          <w:bCs/>
          <w:sz w:val="24"/>
        </w:rPr>
        <w:fldChar w:fldCharType="end"/>
      </w:r>
      <w:r w:rsidR="00680E4C">
        <w:rPr>
          <w:rFonts w:ascii="宋体" w:hAnsi="宋体" w:hint="eastAsia"/>
          <w:bCs/>
          <w:sz w:val="24"/>
        </w:rPr>
        <w:t>公司股票估值水平：综合运用市盈率（</w:t>
      </w:r>
      <w:r w:rsidR="00680E4C">
        <w:rPr>
          <w:rFonts w:ascii="宋体" w:hAnsi="宋体"/>
          <w:bCs/>
          <w:sz w:val="24"/>
        </w:rPr>
        <w:t>P/E</w:t>
      </w:r>
      <w:r w:rsidR="00680E4C">
        <w:rPr>
          <w:rFonts w:ascii="宋体" w:hAnsi="宋体" w:hint="eastAsia"/>
          <w:bCs/>
          <w:sz w:val="24"/>
        </w:rPr>
        <w:t>）、市净率（</w:t>
      </w:r>
      <w:r w:rsidR="00680E4C">
        <w:rPr>
          <w:rFonts w:ascii="宋体" w:hAnsi="宋体"/>
          <w:bCs/>
          <w:sz w:val="24"/>
        </w:rPr>
        <w:t>P/B</w:t>
      </w:r>
      <w:r w:rsidR="00680E4C">
        <w:rPr>
          <w:rFonts w:ascii="宋体" w:hAnsi="宋体" w:hint="eastAsia"/>
          <w:bCs/>
          <w:sz w:val="24"/>
        </w:rPr>
        <w:t>）、市盈率</w:t>
      </w:r>
      <w:r w:rsidR="00680E4C">
        <w:rPr>
          <w:rFonts w:ascii="宋体" w:hAnsi="宋体"/>
          <w:bCs/>
          <w:sz w:val="24"/>
        </w:rPr>
        <w:t>/</w:t>
      </w:r>
      <w:r w:rsidR="00680E4C">
        <w:rPr>
          <w:rFonts w:ascii="宋体" w:hAnsi="宋体" w:hint="eastAsia"/>
          <w:bCs/>
          <w:sz w:val="24"/>
        </w:rPr>
        <w:t>盈利增长比率（</w:t>
      </w:r>
      <w:r w:rsidR="00680E4C">
        <w:rPr>
          <w:rFonts w:ascii="宋体" w:hAnsi="宋体"/>
          <w:bCs/>
          <w:sz w:val="24"/>
        </w:rPr>
        <w:t>PEG</w:t>
      </w:r>
      <w:r w:rsidR="00680E4C">
        <w:rPr>
          <w:rFonts w:ascii="宋体" w:hAnsi="宋体" w:hint="eastAsia"/>
          <w:bCs/>
          <w:sz w:val="24"/>
        </w:rPr>
        <w:t>）等相对估值指标，以及现金流贴现模型（</w:t>
      </w:r>
      <w:r w:rsidR="00680E4C">
        <w:rPr>
          <w:rFonts w:ascii="宋体" w:hAnsi="宋体"/>
          <w:bCs/>
          <w:sz w:val="24"/>
        </w:rPr>
        <w:t>DCF</w:t>
      </w:r>
      <w:r w:rsidR="00680E4C">
        <w:rPr>
          <w:rFonts w:ascii="宋体" w:hAnsi="宋体" w:hint="eastAsia"/>
          <w:bCs/>
          <w:sz w:val="24"/>
        </w:rPr>
        <w:t>）、股利贴现模型（</w:t>
      </w:r>
      <w:r w:rsidR="00680E4C">
        <w:rPr>
          <w:rFonts w:ascii="宋体" w:hAnsi="宋体"/>
          <w:bCs/>
          <w:sz w:val="24"/>
        </w:rPr>
        <w:t>DDM</w:t>
      </w:r>
      <w:r w:rsidR="00680E4C">
        <w:rPr>
          <w:rFonts w:ascii="宋体" w:hAnsi="宋体" w:hint="eastAsia"/>
          <w:bCs/>
          <w:sz w:val="24"/>
        </w:rPr>
        <w:t>）等绝对估值指标，对公司股票进行估值水平判断。</w:t>
      </w:r>
    </w:p>
    <w:p w14:paraId="5EFBB35F" w14:textId="77777777" w:rsidR="00DD2567" w:rsidRDefault="00680E4C">
      <w:pPr>
        <w:spacing w:line="408" w:lineRule="auto"/>
        <w:ind w:firstLineChars="200" w:firstLine="480"/>
        <w:rPr>
          <w:rFonts w:ascii="宋体" w:hAnsi="宋体"/>
          <w:bCs/>
          <w:sz w:val="24"/>
        </w:rPr>
      </w:pPr>
      <w:r>
        <w:rPr>
          <w:rFonts w:ascii="宋体" w:hAnsi="宋体" w:hint="eastAsia"/>
          <w:bCs/>
          <w:sz w:val="24"/>
        </w:rPr>
        <w:t>3、债券投资策略</w:t>
      </w:r>
    </w:p>
    <w:p w14:paraId="791D1FF8" w14:textId="77777777" w:rsidR="00DD2567" w:rsidRDefault="00680E4C">
      <w:pPr>
        <w:spacing w:line="408" w:lineRule="auto"/>
        <w:ind w:firstLineChars="200" w:firstLine="480"/>
        <w:rPr>
          <w:rFonts w:ascii="宋体" w:hAnsi="宋体"/>
          <w:bCs/>
          <w:sz w:val="24"/>
        </w:rPr>
      </w:pPr>
      <w:r>
        <w:rPr>
          <w:rFonts w:ascii="宋体" w:hAnsi="宋体" w:hint="eastAsia"/>
          <w:bCs/>
          <w:sz w:val="24"/>
        </w:rPr>
        <w:t>为降低基金投资的系统性风险，本基金将以优化流动性管理、分散投资风险为主要目标，同时根据需要适度积极操作，进行债券投资，以提高基金收益。具体主要采取以下积极管理策略：</w:t>
      </w:r>
    </w:p>
    <w:p w14:paraId="6D6072D7" w14:textId="77777777" w:rsidR="00DD2567" w:rsidRDefault="00680E4C">
      <w:pPr>
        <w:spacing w:line="408" w:lineRule="auto"/>
        <w:ind w:firstLineChars="200" w:firstLine="480"/>
        <w:rPr>
          <w:rFonts w:ascii="宋体" w:hAnsi="宋体"/>
          <w:bCs/>
          <w:sz w:val="24"/>
        </w:rPr>
      </w:pPr>
      <w:r>
        <w:rPr>
          <w:rFonts w:ascii="宋体" w:hAnsi="宋体" w:hint="eastAsia"/>
          <w:bCs/>
          <w:sz w:val="24"/>
        </w:rPr>
        <w:t>（1）久期调整策略</w:t>
      </w:r>
    </w:p>
    <w:p w14:paraId="282284CA" w14:textId="77777777" w:rsidR="00DD2567" w:rsidRDefault="00680E4C">
      <w:pPr>
        <w:spacing w:line="408" w:lineRule="auto"/>
        <w:ind w:firstLineChars="200" w:firstLine="480"/>
        <w:rPr>
          <w:rFonts w:ascii="宋体" w:hAnsi="宋体"/>
          <w:bCs/>
          <w:sz w:val="24"/>
        </w:rPr>
      </w:pPr>
      <w:r>
        <w:rPr>
          <w:rFonts w:ascii="宋体" w:hAnsi="宋体" w:hint="eastAsia"/>
          <w:bCs/>
          <w:sz w:val="24"/>
        </w:rPr>
        <w:t>根据对市场利率水平的预期，在预期利率下降时，增加组合久期，以较多地获得债券价格上升带来的收益；在预期利率上升时，减小组合久期，以规避债券价格下降的风险。</w:t>
      </w:r>
    </w:p>
    <w:p w14:paraId="4F4CF566" w14:textId="77777777" w:rsidR="00DD2567" w:rsidRDefault="00680E4C">
      <w:pPr>
        <w:spacing w:line="408" w:lineRule="auto"/>
        <w:ind w:firstLineChars="200" w:firstLine="480"/>
        <w:rPr>
          <w:rFonts w:ascii="宋体" w:hAnsi="宋体"/>
          <w:bCs/>
          <w:sz w:val="24"/>
        </w:rPr>
      </w:pPr>
      <w:r>
        <w:rPr>
          <w:rFonts w:ascii="宋体" w:hAnsi="宋体" w:hint="eastAsia"/>
          <w:bCs/>
          <w:sz w:val="24"/>
        </w:rPr>
        <w:t>（2）收益率曲线配置策略</w:t>
      </w:r>
    </w:p>
    <w:p w14:paraId="566F36D9" w14:textId="77777777" w:rsidR="00DD2567" w:rsidRDefault="00680E4C">
      <w:pPr>
        <w:spacing w:line="408" w:lineRule="auto"/>
        <w:ind w:firstLineChars="200" w:firstLine="480"/>
        <w:rPr>
          <w:rFonts w:ascii="宋体" w:hAnsi="宋体"/>
          <w:bCs/>
          <w:sz w:val="24"/>
        </w:rPr>
      </w:pPr>
      <w:r>
        <w:rPr>
          <w:rFonts w:ascii="宋体" w:hAnsi="宋体" w:hint="eastAsia"/>
          <w:bCs/>
          <w:sz w:val="24"/>
        </w:rPr>
        <w:t>债券市场的收益率曲线随时间变化而变化，本基金通过预测收益率曲线未来可能的变化方向和方式，合理配置和调整投资组合的资产结构。具体包括子弹策略、哑铃策略、梯形策略以及骑乘策略等，从长、中、短期债券的相对价格变化中获利。如预测收益率曲线平行移动或变平时，将采取哑铃型策略；预测收益率曲线变陡时，将采取子弹型策略。</w:t>
      </w:r>
    </w:p>
    <w:p w14:paraId="03981926" w14:textId="77777777" w:rsidR="00DD2567" w:rsidRDefault="00680E4C">
      <w:pPr>
        <w:spacing w:line="408" w:lineRule="auto"/>
        <w:ind w:firstLineChars="200" w:firstLine="480"/>
        <w:rPr>
          <w:rFonts w:ascii="宋体" w:hAnsi="宋体"/>
          <w:bCs/>
          <w:sz w:val="24"/>
        </w:rPr>
      </w:pPr>
      <w:r>
        <w:rPr>
          <w:rFonts w:ascii="宋体" w:hAnsi="宋体" w:hint="eastAsia"/>
          <w:bCs/>
          <w:sz w:val="24"/>
        </w:rPr>
        <w:t>（3）确定类属配置</w:t>
      </w:r>
    </w:p>
    <w:p w14:paraId="7D097302" w14:textId="77777777" w:rsidR="00DD2567" w:rsidRDefault="00680E4C">
      <w:pPr>
        <w:spacing w:line="408" w:lineRule="auto"/>
        <w:ind w:firstLineChars="200" w:firstLine="480"/>
        <w:rPr>
          <w:rFonts w:ascii="宋体" w:hAnsi="宋体"/>
          <w:bCs/>
          <w:sz w:val="24"/>
        </w:rPr>
      </w:pPr>
      <w:r>
        <w:rPr>
          <w:rFonts w:ascii="宋体" w:hAnsi="宋体" w:hint="eastAsia"/>
          <w:bCs/>
          <w:sz w:val="24"/>
        </w:rPr>
        <w:t>类属配置主要体现在对于不同类型债券的选择，实现债券组合收益的优化。根据国债、金融债、企业债、可转债、资产支持证券等不同债券板块之间的相对投资价值分析，增持价值被相对低估的债券板块，减持价值被相对高估的债券板块，借以取得较高收益。其中，随着债券市场的发展，基金将加强对企业债、可转债、资产支持证券等新品种的研究和投资。</w:t>
      </w:r>
    </w:p>
    <w:p w14:paraId="6E8E1A5F" w14:textId="77777777" w:rsidR="00DD2567" w:rsidRDefault="00680E4C">
      <w:pPr>
        <w:spacing w:line="408" w:lineRule="auto"/>
        <w:ind w:firstLineChars="200" w:firstLine="480"/>
        <w:rPr>
          <w:rFonts w:ascii="宋体" w:hAnsi="宋体"/>
          <w:bCs/>
          <w:sz w:val="24"/>
        </w:rPr>
      </w:pPr>
      <w:r>
        <w:rPr>
          <w:rFonts w:ascii="宋体" w:hAnsi="宋体" w:hint="eastAsia"/>
          <w:bCs/>
          <w:sz w:val="24"/>
        </w:rPr>
        <w:t>（4）个债选择</w:t>
      </w:r>
    </w:p>
    <w:p w14:paraId="5C969816" w14:textId="77777777" w:rsidR="00DD2567" w:rsidRDefault="00680E4C">
      <w:pPr>
        <w:spacing w:line="408" w:lineRule="auto"/>
        <w:ind w:firstLineChars="200" w:firstLine="480"/>
        <w:rPr>
          <w:rFonts w:ascii="宋体" w:hAnsi="宋体"/>
          <w:bCs/>
          <w:sz w:val="24"/>
        </w:rPr>
      </w:pPr>
      <w:r>
        <w:rPr>
          <w:rFonts w:ascii="宋体" w:hAnsi="宋体" w:hint="eastAsia"/>
          <w:bCs/>
          <w:sz w:val="24"/>
        </w:rPr>
        <w:t>本基金在综合考虑上述配置原则基础上，通过对个体券种的价值分析，重点</w:t>
      </w:r>
      <w:r>
        <w:rPr>
          <w:rFonts w:ascii="宋体" w:hAnsi="宋体" w:hint="eastAsia"/>
          <w:bCs/>
          <w:sz w:val="24"/>
        </w:rPr>
        <w:lastRenderedPageBreak/>
        <w:t>考察各券种的收益率、流动性、信用等级，选择相应的最优投资对象。本基金还将采取积极主动的策略，针对市场定价错误和回购套利机会等，在确定存在超额收益的情况下，积极把握市场机会。</w:t>
      </w:r>
    </w:p>
    <w:p w14:paraId="18555B49" w14:textId="77777777" w:rsidR="00DD2567" w:rsidRDefault="00680E4C">
      <w:pPr>
        <w:spacing w:line="408" w:lineRule="auto"/>
        <w:ind w:firstLineChars="200" w:firstLine="480"/>
        <w:rPr>
          <w:rFonts w:ascii="宋体" w:hAnsi="宋体"/>
          <w:bCs/>
          <w:sz w:val="24"/>
        </w:rPr>
      </w:pPr>
      <w:r>
        <w:rPr>
          <w:rFonts w:ascii="宋体" w:hAnsi="宋体" w:hint="eastAsia"/>
          <w:bCs/>
          <w:sz w:val="24"/>
        </w:rPr>
        <w:t>4、权证投资策略</w:t>
      </w:r>
    </w:p>
    <w:p w14:paraId="1D9BCA73" w14:textId="77777777" w:rsidR="00DD2567" w:rsidRDefault="00680E4C">
      <w:pPr>
        <w:spacing w:line="408" w:lineRule="auto"/>
        <w:ind w:firstLineChars="200" w:firstLine="480"/>
        <w:rPr>
          <w:rFonts w:ascii="宋体" w:hAnsi="宋体"/>
          <w:bCs/>
          <w:sz w:val="24"/>
        </w:rPr>
      </w:pPr>
      <w:r>
        <w:rPr>
          <w:rFonts w:ascii="宋体" w:hAnsi="宋体" w:hint="eastAsia"/>
          <w:bCs/>
          <w:sz w:val="24"/>
        </w:rPr>
        <w:t>本基金将在严格控制风险的前提下依法进行权证投资。基金权证投资将在采用数量化模型分析其合理定价的基础上，追求在风险可控的前提下实现稳健的超额收益。</w:t>
      </w:r>
    </w:p>
    <w:p w14:paraId="7CB269D4" w14:textId="77777777" w:rsidR="00DD2567" w:rsidRDefault="00680E4C">
      <w:pPr>
        <w:spacing w:line="408" w:lineRule="auto"/>
        <w:ind w:firstLineChars="200" w:firstLine="480"/>
        <w:rPr>
          <w:rFonts w:ascii="宋体" w:hAnsi="宋体"/>
          <w:bCs/>
          <w:sz w:val="24"/>
        </w:rPr>
      </w:pPr>
      <w:r>
        <w:rPr>
          <w:rFonts w:ascii="宋体" w:hAnsi="宋体" w:hint="eastAsia"/>
          <w:bCs/>
          <w:sz w:val="24"/>
        </w:rPr>
        <w:t>5、股指期货投资策略</w:t>
      </w:r>
    </w:p>
    <w:p w14:paraId="6392D1DD" w14:textId="77777777" w:rsidR="00DD2567" w:rsidRDefault="00680E4C">
      <w:pPr>
        <w:spacing w:line="408" w:lineRule="auto"/>
        <w:ind w:firstLineChars="200" w:firstLine="480"/>
        <w:rPr>
          <w:rFonts w:ascii="宋体" w:hAnsi="宋体"/>
          <w:bCs/>
          <w:sz w:val="24"/>
        </w:rPr>
      </w:pPr>
      <w:r>
        <w:rPr>
          <w:rFonts w:ascii="宋体" w:hAnsi="宋体" w:hint="eastAsia"/>
          <w:bCs/>
          <w:sz w:val="24"/>
        </w:rPr>
        <w:t>本基金将根据有关法律法规和政策的规定，在严格控制风险的前提下，以套期保值为主要目的，依据股指期货定价模型，采用流动性较好、交易较活跃的期货合约，通过套期保值策略的综合运用进行操作，实现对冲系统性风险及规避特殊情况下的流动性风险的目的。为此，基金管理人制定了股指期货投资管理制度并经董事会审议通过，该制度对股指期货投资决策程序、风险控制等做了详细的规定。此外，建立了股指期货交易决策小组，授权相关管理人员负责股指期货的投资审批事项。本基金管理人将充分考虑股指期货的收益性、流动性及风险特征，通过资产配置、品种选择，谨慎进行投资，以降低投资组合的整体风险。如未来法律法规对于基金投资股指期货的投资策略另有规定的，本基金将按法律法规的规定执行。</w:t>
      </w:r>
    </w:p>
    <w:p w14:paraId="128A0233" w14:textId="77777777" w:rsidR="00DD2567" w:rsidRDefault="00680E4C">
      <w:pPr>
        <w:spacing w:line="408" w:lineRule="auto"/>
        <w:ind w:firstLineChars="200" w:firstLine="480"/>
        <w:rPr>
          <w:rFonts w:ascii="宋体" w:hAnsi="宋体"/>
          <w:bCs/>
          <w:sz w:val="24"/>
        </w:rPr>
      </w:pPr>
      <w:r>
        <w:rPr>
          <w:rFonts w:ascii="宋体" w:hAnsi="宋体" w:hint="eastAsia"/>
          <w:bCs/>
          <w:sz w:val="24"/>
        </w:rPr>
        <w:t>6、资产支持证券投资策略。</w:t>
      </w:r>
    </w:p>
    <w:p w14:paraId="53831C1E" w14:textId="77777777" w:rsidR="00DD2567" w:rsidRDefault="00680E4C">
      <w:pPr>
        <w:spacing w:line="408" w:lineRule="auto"/>
        <w:ind w:firstLineChars="200" w:firstLine="480"/>
        <w:rPr>
          <w:rFonts w:ascii="宋体" w:hAnsi="宋体"/>
          <w:bCs/>
          <w:sz w:val="24"/>
        </w:rPr>
      </w:pPr>
      <w:r>
        <w:rPr>
          <w:rFonts w:ascii="宋体" w:hAnsi="宋体" w:hint="eastAsia"/>
          <w:bCs/>
          <w:sz w:val="24"/>
        </w:rPr>
        <w:t>本基金将严格控制资产支持证券的总体投资规模并进行分散投资，以降低流动性风险。</w:t>
      </w:r>
    </w:p>
    <w:p w14:paraId="67DA9093" w14:textId="77777777" w:rsidR="00DD2567" w:rsidRDefault="00680E4C">
      <w:pPr>
        <w:spacing w:line="408" w:lineRule="auto"/>
        <w:ind w:firstLineChars="200" w:firstLine="480"/>
        <w:rPr>
          <w:rFonts w:ascii="宋体" w:hAnsi="宋体"/>
          <w:bCs/>
          <w:sz w:val="24"/>
        </w:rPr>
      </w:pPr>
      <w:r>
        <w:rPr>
          <w:rFonts w:ascii="宋体" w:hAnsi="宋体" w:hint="eastAsia"/>
          <w:bCs/>
          <w:sz w:val="24"/>
        </w:rPr>
        <w:t>此外，本基金还将积极参与风险低且可控的新股申购、债券回购等投资，以增加收益。未来，随着证券市场的发展、金融工具的丰富和交易方式的创新等，基金还将积极寻求其他投资机会，履行适当程序后更新和丰富组合投资策略。</w:t>
      </w:r>
    </w:p>
    <w:p w14:paraId="46E943E6" w14:textId="77777777" w:rsidR="00DD2567" w:rsidRDefault="00680E4C">
      <w:pPr>
        <w:spacing w:line="408" w:lineRule="auto"/>
        <w:ind w:firstLineChars="200" w:firstLine="480"/>
        <w:rPr>
          <w:rFonts w:ascii="宋体" w:hAnsi="宋体"/>
          <w:bCs/>
          <w:sz w:val="24"/>
        </w:rPr>
      </w:pPr>
      <w:r>
        <w:rPr>
          <w:rFonts w:ascii="宋体" w:hAnsi="宋体"/>
          <w:bCs/>
          <w:sz w:val="24"/>
        </w:rPr>
        <w:t>四、投资限制</w:t>
      </w:r>
    </w:p>
    <w:p w14:paraId="7DDEA8FD" w14:textId="77777777" w:rsidR="00DD2567" w:rsidRDefault="00680E4C">
      <w:pPr>
        <w:spacing w:line="408" w:lineRule="auto"/>
        <w:ind w:firstLineChars="200" w:firstLine="480"/>
        <w:rPr>
          <w:rFonts w:ascii="宋体" w:hAnsi="宋体"/>
          <w:bCs/>
          <w:sz w:val="24"/>
        </w:rPr>
      </w:pPr>
      <w:r>
        <w:rPr>
          <w:rFonts w:ascii="宋体" w:hAnsi="宋体"/>
          <w:bCs/>
          <w:sz w:val="24"/>
        </w:rPr>
        <w:t>1、组合限制</w:t>
      </w:r>
    </w:p>
    <w:p w14:paraId="6205FB54" w14:textId="77777777" w:rsidR="00DD2567" w:rsidRDefault="00680E4C">
      <w:pPr>
        <w:spacing w:line="408" w:lineRule="auto"/>
        <w:ind w:firstLineChars="200" w:firstLine="480"/>
        <w:rPr>
          <w:rFonts w:ascii="宋体" w:hAnsi="宋体"/>
          <w:bCs/>
          <w:sz w:val="24"/>
        </w:rPr>
      </w:pPr>
      <w:r>
        <w:rPr>
          <w:rFonts w:ascii="宋体" w:hAnsi="宋体"/>
          <w:bCs/>
          <w:sz w:val="24"/>
        </w:rPr>
        <w:lastRenderedPageBreak/>
        <w:t>基金的投资组合应遵循以下限制：</w:t>
      </w:r>
    </w:p>
    <w:p w14:paraId="1A87A474" w14:textId="77777777" w:rsidR="00DD2567" w:rsidRDefault="00680E4C">
      <w:pPr>
        <w:spacing w:line="408" w:lineRule="auto"/>
        <w:ind w:firstLineChars="200" w:firstLine="480"/>
        <w:rPr>
          <w:rFonts w:ascii="宋体" w:hAnsi="宋体"/>
          <w:bCs/>
          <w:sz w:val="24"/>
        </w:rPr>
      </w:pPr>
      <w:r>
        <w:rPr>
          <w:rFonts w:ascii="宋体" w:hAnsi="宋体"/>
          <w:bCs/>
          <w:sz w:val="24"/>
        </w:rPr>
        <w:t>（1）</w:t>
      </w:r>
      <w:r>
        <w:rPr>
          <w:rFonts w:ascii="宋体" w:hAnsi="宋体" w:hint="eastAsia"/>
          <w:bCs/>
          <w:sz w:val="24"/>
        </w:rPr>
        <w:t>股票资产占基金资产的比例范围为0%-95%；债券资产、货币市场工具、权证、资产支持证券以及法律法规或中国证监会允许基金投资的其他证券品种占基金资产的比例范围为5%-100%；</w:t>
      </w:r>
    </w:p>
    <w:p w14:paraId="60BCAEEF" w14:textId="77777777" w:rsidR="00DD2567" w:rsidRDefault="00680E4C">
      <w:pPr>
        <w:spacing w:line="408" w:lineRule="auto"/>
        <w:ind w:firstLineChars="200" w:firstLine="480"/>
        <w:rPr>
          <w:rFonts w:ascii="宋体" w:hAnsi="宋体"/>
          <w:bCs/>
          <w:sz w:val="24"/>
        </w:rPr>
      </w:pPr>
      <w:r>
        <w:rPr>
          <w:rFonts w:ascii="宋体" w:hAnsi="宋体"/>
          <w:bCs/>
          <w:sz w:val="24"/>
        </w:rPr>
        <w:t>（</w:t>
      </w:r>
      <w:r>
        <w:rPr>
          <w:rFonts w:ascii="宋体" w:hAnsi="宋体" w:hint="eastAsia"/>
          <w:bCs/>
          <w:sz w:val="24"/>
        </w:rPr>
        <w:t>2</w:t>
      </w:r>
      <w:r>
        <w:rPr>
          <w:rFonts w:ascii="宋体" w:hAnsi="宋体"/>
          <w:bCs/>
          <w:sz w:val="24"/>
        </w:rPr>
        <w:t>）</w:t>
      </w:r>
      <w:r>
        <w:rPr>
          <w:rFonts w:ascii="宋体" w:hAnsi="宋体" w:hint="eastAsia"/>
          <w:bCs/>
          <w:sz w:val="24"/>
        </w:rPr>
        <w:t>每个交易日日终在</w:t>
      </w:r>
      <w:r>
        <w:rPr>
          <w:rFonts w:ascii="宋体" w:hAnsi="宋体" w:hint="eastAsia"/>
          <w:sz w:val="24"/>
        </w:rPr>
        <w:t>扣除股指期货保证金以后基金保留的现金或到期日在一年以内的政府债券比例合计不低于基金资产净值的5%</w:t>
      </w:r>
      <w:r>
        <w:rPr>
          <w:rFonts w:ascii="宋体" w:hAnsi="宋体"/>
          <w:bCs/>
          <w:sz w:val="24"/>
        </w:rPr>
        <w:t>；</w:t>
      </w:r>
    </w:p>
    <w:p w14:paraId="418FFAE3" w14:textId="77777777" w:rsidR="00DD2567" w:rsidRDefault="00680E4C">
      <w:pPr>
        <w:spacing w:line="408" w:lineRule="auto"/>
        <w:ind w:firstLineChars="200" w:firstLine="480"/>
        <w:rPr>
          <w:rFonts w:ascii="宋体" w:hAnsi="宋体"/>
          <w:bCs/>
          <w:sz w:val="24"/>
        </w:rPr>
      </w:pPr>
      <w:r>
        <w:rPr>
          <w:rFonts w:ascii="宋体" w:hAnsi="宋体"/>
          <w:bCs/>
          <w:sz w:val="24"/>
        </w:rPr>
        <w:t>（</w:t>
      </w:r>
      <w:r>
        <w:rPr>
          <w:rFonts w:ascii="宋体" w:hAnsi="宋体" w:hint="eastAsia"/>
          <w:bCs/>
          <w:sz w:val="24"/>
        </w:rPr>
        <w:t>3</w:t>
      </w:r>
      <w:r>
        <w:rPr>
          <w:rFonts w:ascii="宋体" w:hAnsi="宋体"/>
          <w:bCs/>
          <w:sz w:val="24"/>
        </w:rPr>
        <w:t>）本基金持有一家公司</w:t>
      </w:r>
      <w:r>
        <w:rPr>
          <w:rFonts w:ascii="宋体" w:hAnsi="宋体" w:hint="eastAsia"/>
          <w:bCs/>
          <w:sz w:val="24"/>
        </w:rPr>
        <w:t>发行的证券</w:t>
      </w:r>
      <w:r>
        <w:rPr>
          <w:rFonts w:ascii="宋体" w:hAnsi="宋体"/>
          <w:bCs/>
          <w:sz w:val="24"/>
        </w:rPr>
        <w:t>，其市值不超过基金资产净值的10%；</w:t>
      </w:r>
    </w:p>
    <w:p w14:paraId="4B98BE2A" w14:textId="77777777" w:rsidR="00DD2567" w:rsidRDefault="00680E4C">
      <w:pPr>
        <w:spacing w:line="408" w:lineRule="auto"/>
        <w:ind w:firstLineChars="200" w:firstLine="480"/>
        <w:rPr>
          <w:rFonts w:ascii="宋体" w:hAnsi="宋体"/>
          <w:bCs/>
          <w:sz w:val="24"/>
        </w:rPr>
      </w:pPr>
      <w:r>
        <w:rPr>
          <w:rFonts w:ascii="宋体" w:hAnsi="宋体"/>
          <w:bCs/>
          <w:sz w:val="24"/>
        </w:rPr>
        <w:t>（</w:t>
      </w:r>
      <w:r>
        <w:rPr>
          <w:rFonts w:ascii="宋体" w:hAnsi="宋体" w:hint="eastAsia"/>
          <w:bCs/>
          <w:sz w:val="24"/>
        </w:rPr>
        <w:t>4</w:t>
      </w:r>
      <w:r>
        <w:rPr>
          <w:rFonts w:ascii="宋体" w:hAnsi="宋体"/>
          <w:bCs/>
          <w:sz w:val="24"/>
        </w:rPr>
        <w:t>）本基金管理人管理的全部基金持有一家公司发行的证券，不超过该证券的10%；</w:t>
      </w:r>
    </w:p>
    <w:p w14:paraId="3DC43A15" w14:textId="77777777" w:rsidR="00DD2567" w:rsidRDefault="00680E4C">
      <w:pPr>
        <w:spacing w:line="408" w:lineRule="auto"/>
        <w:ind w:firstLineChars="200" w:firstLine="480"/>
        <w:rPr>
          <w:rFonts w:ascii="宋体" w:hAnsi="宋体"/>
          <w:bCs/>
          <w:sz w:val="24"/>
        </w:rPr>
      </w:pPr>
      <w:r>
        <w:rPr>
          <w:rFonts w:ascii="宋体" w:hAnsi="宋体"/>
          <w:bCs/>
          <w:sz w:val="24"/>
        </w:rPr>
        <w:t>（</w:t>
      </w:r>
      <w:r>
        <w:rPr>
          <w:rFonts w:ascii="宋体" w:hAnsi="宋体" w:hint="eastAsia"/>
          <w:bCs/>
          <w:sz w:val="24"/>
        </w:rPr>
        <w:t>5</w:t>
      </w:r>
      <w:r>
        <w:rPr>
          <w:rFonts w:ascii="宋体" w:hAnsi="宋体"/>
          <w:bCs/>
          <w:sz w:val="24"/>
        </w:rPr>
        <w:t>）本基金持有的全部权证，其市值不得超过基金资产净值的3%；</w:t>
      </w:r>
    </w:p>
    <w:p w14:paraId="2BF515E4" w14:textId="77777777" w:rsidR="00DD2567" w:rsidRDefault="00680E4C">
      <w:pPr>
        <w:spacing w:line="408" w:lineRule="auto"/>
        <w:ind w:firstLineChars="200" w:firstLine="480"/>
        <w:rPr>
          <w:rFonts w:ascii="宋体" w:hAnsi="宋体"/>
          <w:bCs/>
          <w:sz w:val="24"/>
        </w:rPr>
      </w:pPr>
      <w:r>
        <w:rPr>
          <w:rFonts w:ascii="宋体" w:hAnsi="宋体"/>
          <w:bCs/>
          <w:sz w:val="24"/>
        </w:rPr>
        <w:t>（</w:t>
      </w:r>
      <w:r>
        <w:rPr>
          <w:rFonts w:ascii="宋体" w:hAnsi="宋体" w:hint="eastAsia"/>
          <w:bCs/>
          <w:sz w:val="24"/>
        </w:rPr>
        <w:t>6</w:t>
      </w:r>
      <w:r>
        <w:rPr>
          <w:rFonts w:ascii="宋体" w:hAnsi="宋体"/>
          <w:bCs/>
          <w:sz w:val="24"/>
        </w:rPr>
        <w:t>）本基金管理人管理的全部基金持有的同一权证，不得超过该权证的10%；</w:t>
      </w:r>
    </w:p>
    <w:p w14:paraId="745592A2" w14:textId="77777777" w:rsidR="00DD2567" w:rsidRDefault="00680E4C">
      <w:pPr>
        <w:spacing w:line="408" w:lineRule="auto"/>
        <w:ind w:firstLineChars="200" w:firstLine="480"/>
        <w:rPr>
          <w:rFonts w:ascii="宋体" w:hAnsi="宋体"/>
          <w:bCs/>
          <w:sz w:val="24"/>
        </w:rPr>
      </w:pPr>
      <w:r>
        <w:rPr>
          <w:rFonts w:ascii="宋体" w:hAnsi="宋体"/>
          <w:bCs/>
          <w:sz w:val="24"/>
        </w:rPr>
        <w:t>（</w:t>
      </w:r>
      <w:r>
        <w:rPr>
          <w:rFonts w:ascii="宋体" w:hAnsi="宋体" w:hint="eastAsia"/>
          <w:bCs/>
          <w:sz w:val="24"/>
        </w:rPr>
        <w:t>7</w:t>
      </w:r>
      <w:r>
        <w:rPr>
          <w:rFonts w:ascii="宋体" w:hAnsi="宋体"/>
          <w:bCs/>
          <w:sz w:val="24"/>
        </w:rPr>
        <w:t>）本基金在任何交易日买入权证的总金额，不得超过上一交易日基金资产净值的0.5%；</w:t>
      </w:r>
    </w:p>
    <w:p w14:paraId="11E743A5" w14:textId="77777777" w:rsidR="00DD2567" w:rsidRDefault="00680E4C">
      <w:pPr>
        <w:spacing w:line="408" w:lineRule="auto"/>
        <w:ind w:firstLineChars="200" w:firstLine="480"/>
        <w:rPr>
          <w:rFonts w:ascii="宋体" w:hAnsi="宋体"/>
          <w:bCs/>
          <w:sz w:val="24"/>
        </w:rPr>
      </w:pPr>
      <w:r>
        <w:rPr>
          <w:rFonts w:ascii="宋体" w:hAnsi="宋体"/>
          <w:bCs/>
          <w:sz w:val="24"/>
        </w:rPr>
        <w:t>（</w:t>
      </w:r>
      <w:r>
        <w:rPr>
          <w:rFonts w:ascii="宋体" w:hAnsi="宋体" w:hint="eastAsia"/>
          <w:bCs/>
          <w:sz w:val="24"/>
        </w:rPr>
        <w:t>8</w:t>
      </w:r>
      <w:r>
        <w:rPr>
          <w:rFonts w:ascii="宋体" w:hAnsi="宋体"/>
          <w:bCs/>
          <w:sz w:val="24"/>
        </w:rPr>
        <w:t>）本基金投资于同一原始权益人的各类资产支持证券的比例，不得超过基金资产净值的10%；</w:t>
      </w:r>
    </w:p>
    <w:p w14:paraId="701ACEE8" w14:textId="77777777" w:rsidR="00DD2567" w:rsidRDefault="00680E4C">
      <w:pPr>
        <w:spacing w:line="408" w:lineRule="auto"/>
        <w:ind w:firstLineChars="200" w:firstLine="480"/>
        <w:rPr>
          <w:rFonts w:ascii="宋体" w:hAnsi="宋体"/>
          <w:bCs/>
          <w:sz w:val="24"/>
        </w:rPr>
      </w:pPr>
      <w:r>
        <w:rPr>
          <w:rFonts w:ascii="宋体" w:hAnsi="宋体"/>
          <w:bCs/>
          <w:sz w:val="24"/>
        </w:rPr>
        <w:t>（</w:t>
      </w:r>
      <w:r>
        <w:rPr>
          <w:rFonts w:ascii="宋体" w:hAnsi="宋体" w:hint="eastAsia"/>
          <w:bCs/>
          <w:sz w:val="24"/>
        </w:rPr>
        <w:t>9</w:t>
      </w:r>
      <w:r>
        <w:rPr>
          <w:rFonts w:ascii="宋体" w:hAnsi="宋体"/>
          <w:bCs/>
          <w:sz w:val="24"/>
        </w:rPr>
        <w:t>）本基金持有的全部资产支持证券，其市值不得超过基金资产净值的20%；</w:t>
      </w:r>
    </w:p>
    <w:p w14:paraId="4F807C70" w14:textId="77777777" w:rsidR="00DD2567" w:rsidRDefault="00680E4C">
      <w:pPr>
        <w:spacing w:line="408" w:lineRule="auto"/>
        <w:ind w:firstLineChars="200" w:firstLine="480"/>
        <w:rPr>
          <w:rFonts w:ascii="宋体" w:hAnsi="宋体"/>
          <w:bCs/>
          <w:sz w:val="24"/>
        </w:rPr>
      </w:pPr>
      <w:r>
        <w:rPr>
          <w:rFonts w:ascii="宋体" w:hAnsi="宋体"/>
          <w:bCs/>
          <w:sz w:val="24"/>
        </w:rPr>
        <w:t>（1</w:t>
      </w:r>
      <w:r>
        <w:rPr>
          <w:rFonts w:ascii="宋体" w:hAnsi="宋体" w:hint="eastAsia"/>
          <w:bCs/>
          <w:sz w:val="24"/>
        </w:rPr>
        <w:t>0</w:t>
      </w:r>
      <w:r>
        <w:rPr>
          <w:rFonts w:ascii="宋体" w:hAnsi="宋体"/>
          <w:bCs/>
          <w:sz w:val="24"/>
        </w:rPr>
        <w:t>）本基金持有的同一（指同一信用级别）资产支持证券的比例，不得超过该资产支持证券规模的10%；</w:t>
      </w:r>
    </w:p>
    <w:p w14:paraId="0F32ACBB" w14:textId="77777777" w:rsidR="00DD2567" w:rsidRDefault="00680E4C">
      <w:pPr>
        <w:spacing w:line="408" w:lineRule="auto"/>
        <w:ind w:firstLineChars="200" w:firstLine="480"/>
        <w:rPr>
          <w:rFonts w:ascii="宋体" w:hAnsi="宋体"/>
          <w:bCs/>
          <w:sz w:val="24"/>
        </w:rPr>
      </w:pPr>
      <w:r>
        <w:rPr>
          <w:rFonts w:ascii="宋体" w:hAnsi="宋体"/>
          <w:bCs/>
          <w:sz w:val="24"/>
        </w:rPr>
        <w:t>（1</w:t>
      </w:r>
      <w:r>
        <w:rPr>
          <w:rFonts w:ascii="宋体" w:hAnsi="宋体" w:hint="eastAsia"/>
          <w:bCs/>
          <w:sz w:val="24"/>
        </w:rPr>
        <w:t>1</w:t>
      </w:r>
      <w:r>
        <w:rPr>
          <w:rFonts w:ascii="宋体" w:hAnsi="宋体"/>
          <w:bCs/>
          <w:sz w:val="24"/>
        </w:rPr>
        <w:t>）本基金管理人管理的全部基金投资于同一原始权益人的各类资产支持证券，不得超过其各类资产支持证券合计规模的10%；</w:t>
      </w:r>
    </w:p>
    <w:p w14:paraId="261945D2" w14:textId="77777777" w:rsidR="00DD2567" w:rsidRDefault="00680E4C">
      <w:pPr>
        <w:spacing w:line="408" w:lineRule="auto"/>
        <w:ind w:firstLineChars="200" w:firstLine="480"/>
        <w:rPr>
          <w:rFonts w:ascii="宋体" w:hAnsi="宋体"/>
          <w:bCs/>
          <w:sz w:val="24"/>
        </w:rPr>
      </w:pPr>
      <w:r>
        <w:rPr>
          <w:rFonts w:ascii="宋体" w:hAnsi="宋体"/>
          <w:bCs/>
          <w:sz w:val="24"/>
        </w:rPr>
        <w:t>（1</w:t>
      </w:r>
      <w:r>
        <w:rPr>
          <w:rFonts w:ascii="宋体" w:hAnsi="宋体" w:hint="eastAsia"/>
          <w:bCs/>
          <w:sz w:val="24"/>
        </w:rPr>
        <w:t>2</w:t>
      </w:r>
      <w:r>
        <w:rPr>
          <w:rFonts w:ascii="宋体" w:hAnsi="宋体"/>
          <w:bCs/>
          <w:sz w:val="24"/>
        </w:rPr>
        <w:t>）本基金应投资于信用级别评级为BBB以上（含BBB）的资产支持证券。基金持有资产支持证券期间，如果其信用等级下降、不再符合投资标准，应在评级报告发布之日起3个月内予以全部卖出；</w:t>
      </w:r>
    </w:p>
    <w:p w14:paraId="3298527F" w14:textId="77777777" w:rsidR="00DD2567" w:rsidRDefault="00680E4C">
      <w:pPr>
        <w:spacing w:line="408" w:lineRule="auto"/>
        <w:ind w:firstLineChars="200" w:firstLine="480"/>
        <w:rPr>
          <w:rFonts w:ascii="宋体" w:hAnsi="宋体"/>
          <w:bCs/>
          <w:sz w:val="24"/>
        </w:rPr>
      </w:pPr>
      <w:r>
        <w:rPr>
          <w:rFonts w:ascii="宋体" w:hAnsi="宋体"/>
          <w:bCs/>
          <w:sz w:val="24"/>
        </w:rPr>
        <w:t>（1</w:t>
      </w:r>
      <w:r>
        <w:rPr>
          <w:rFonts w:ascii="宋体" w:hAnsi="宋体" w:hint="eastAsia"/>
          <w:bCs/>
          <w:sz w:val="24"/>
        </w:rPr>
        <w:t>3</w:t>
      </w:r>
      <w:r>
        <w:rPr>
          <w:rFonts w:ascii="宋体" w:hAnsi="宋体"/>
          <w:bCs/>
          <w:sz w:val="24"/>
        </w:rPr>
        <w:t>）基金财产参与股票发行申购，本基金所申报的金额不超过本基金的总资产，本基金所申报的股票数量不超过拟发行股票公司本次发行股票的总量；</w:t>
      </w:r>
    </w:p>
    <w:p w14:paraId="18A19760" w14:textId="77777777" w:rsidR="00DD2567" w:rsidRDefault="00680E4C">
      <w:pPr>
        <w:spacing w:line="408" w:lineRule="auto"/>
        <w:ind w:firstLineChars="200" w:firstLine="480"/>
        <w:rPr>
          <w:rFonts w:ascii="宋体" w:hAnsi="宋体"/>
          <w:bCs/>
          <w:sz w:val="24"/>
        </w:rPr>
      </w:pPr>
      <w:r>
        <w:rPr>
          <w:rFonts w:ascii="宋体" w:hAnsi="宋体"/>
          <w:bCs/>
          <w:sz w:val="24"/>
        </w:rPr>
        <w:t>（1</w:t>
      </w:r>
      <w:r>
        <w:rPr>
          <w:rFonts w:ascii="宋体" w:hAnsi="宋体" w:hint="eastAsia"/>
          <w:bCs/>
          <w:sz w:val="24"/>
        </w:rPr>
        <w:t>4</w:t>
      </w:r>
      <w:r>
        <w:rPr>
          <w:rFonts w:ascii="宋体" w:hAnsi="宋体"/>
          <w:bCs/>
          <w:sz w:val="24"/>
        </w:rPr>
        <w:t>）本基金进入全国银行间同业市场进行债券回购的资金余额不得超过基</w:t>
      </w:r>
      <w:r>
        <w:rPr>
          <w:rFonts w:ascii="宋体" w:hAnsi="宋体"/>
          <w:bCs/>
          <w:sz w:val="24"/>
        </w:rPr>
        <w:lastRenderedPageBreak/>
        <w:t>金资产净值的40%；</w:t>
      </w:r>
    </w:p>
    <w:p w14:paraId="0A38EB0F" w14:textId="77777777" w:rsidR="00DD2567" w:rsidRDefault="00680E4C">
      <w:pPr>
        <w:spacing w:line="384" w:lineRule="auto"/>
        <w:ind w:firstLineChars="200" w:firstLine="480"/>
        <w:rPr>
          <w:rFonts w:ascii="宋体" w:hAnsi="宋体"/>
          <w:bCs/>
          <w:sz w:val="24"/>
        </w:rPr>
      </w:pPr>
      <w:r>
        <w:rPr>
          <w:rFonts w:ascii="宋体" w:hAnsi="宋体" w:hint="eastAsia"/>
          <w:bCs/>
          <w:sz w:val="24"/>
        </w:rPr>
        <w:t>（15）本基金在任何交易日日终，持有的买入期货合约价值与有价证券市值之和，不得超过基金资产净值的95%；其中，有价证券指股票、债券（不含到期日在一年以内的政府债券）、权证、资产支持证券、买入返售金融资产（不含质押式回购）等；</w:t>
      </w:r>
    </w:p>
    <w:p w14:paraId="449E663B" w14:textId="77777777" w:rsidR="00DD2567" w:rsidRDefault="00680E4C">
      <w:pPr>
        <w:spacing w:line="384" w:lineRule="auto"/>
        <w:ind w:firstLineChars="200" w:firstLine="480"/>
        <w:rPr>
          <w:rFonts w:ascii="宋体" w:hAnsi="宋体"/>
          <w:bCs/>
          <w:sz w:val="24"/>
        </w:rPr>
      </w:pPr>
      <w:r>
        <w:rPr>
          <w:rFonts w:ascii="宋体" w:hAnsi="宋体" w:hint="eastAsia"/>
          <w:bCs/>
          <w:sz w:val="24"/>
        </w:rPr>
        <w:t>（16）本基金管理人应当按照中国金融期货交易所要求的内容、格式与时限向交易所报告所交易和持有的卖出股指期货合约情况、交易目的及对应的证券资产情况等；</w:t>
      </w:r>
    </w:p>
    <w:p w14:paraId="0BC4BFBA" w14:textId="77777777" w:rsidR="00DD2567" w:rsidRDefault="00680E4C">
      <w:pPr>
        <w:spacing w:line="384" w:lineRule="auto"/>
        <w:ind w:firstLineChars="200" w:firstLine="480"/>
        <w:rPr>
          <w:rFonts w:ascii="宋体" w:hAnsi="宋体"/>
          <w:bCs/>
          <w:sz w:val="24"/>
        </w:rPr>
      </w:pPr>
      <w:r>
        <w:rPr>
          <w:rFonts w:ascii="宋体" w:hAnsi="宋体" w:hint="eastAsia"/>
          <w:bCs/>
          <w:sz w:val="24"/>
        </w:rPr>
        <w:t>（17）本基金所持有的股票市值和买入、卖出股指期货合约价值，合计（轧差计算）应当符合《基金合同》关于股票投资比例的有关约定；</w:t>
      </w:r>
    </w:p>
    <w:p w14:paraId="15FBF154" w14:textId="77777777" w:rsidR="00DD2567" w:rsidRDefault="00680E4C">
      <w:pPr>
        <w:spacing w:line="384" w:lineRule="auto"/>
        <w:ind w:firstLineChars="200" w:firstLine="480"/>
        <w:rPr>
          <w:rFonts w:ascii="宋体" w:hAnsi="宋体"/>
          <w:bCs/>
          <w:sz w:val="24"/>
        </w:rPr>
      </w:pPr>
      <w:r>
        <w:rPr>
          <w:rFonts w:ascii="宋体" w:hAnsi="宋体" w:hint="eastAsia"/>
          <w:bCs/>
          <w:sz w:val="24"/>
        </w:rPr>
        <w:t>（18）基金在任何交易日日终，持有的买入股指期货合约价值，不得超过基金资产净值的10%；</w:t>
      </w:r>
    </w:p>
    <w:p w14:paraId="7D65E42D" w14:textId="77777777" w:rsidR="00DD2567" w:rsidRDefault="00680E4C">
      <w:pPr>
        <w:spacing w:line="384" w:lineRule="auto"/>
        <w:ind w:firstLineChars="200" w:firstLine="480"/>
        <w:rPr>
          <w:rFonts w:ascii="宋体" w:hAnsi="宋体"/>
          <w:bCs/>
          <w:sz w:val="24"/>
        </w:rPr>
      </w:pPr>
      <w:r>
        <w:rPr>
          <w:rFonts w:ascii="宋体" w:hAnsi="宋体" w:hint="eastAsia"/>
          <w:bCs/>
          <w:sz w:val="24"/>
        </w:rPr>
        <w:t>（19）基金在任何交易日日终，持有的卖出股指期货合约价值不得超过基金持有的股票总市值的20%；</w:t>
      </w:r>
    </w:p>
    <w:p w14:paraId="48EF892F" w14:textId="77777777" w:rsidR="00DD2567" w:rsidRDefault="00680E4C">
      <w:pPr>
        <w:spacing w:line="384" w:lineRule="auto"/>
        <w:ind w:firstLineChars="200" w:firstLine="480"/>
        <w:rPr>
          <w:rFonts w:ascii="宋体" w:hAnsi="宋体"/>
          <w:bCs/>
          <w:sz w:val="24"/>
        </w:rPr>
      </w:pPr>
      <w:r>
        <w:rPr>
          <w:rFonts w:ascii="宋体" w:hAnsi="宋体" w:hint="eastAsia"/>
          <w:bCs/>
          <w:sz w:val="24"/>
        </w:rPr>
        <w:t>（20）基金在任何交易日内交易（不包括平仓）的股指期货合约的成交金额不得超过上一交易日基金资产净值的20%；</w:t>
      </w:r>
    </w:p>
    <w:p w14:paraId="286EAD36" w14:textId="77777777" w:rsidR="00DD2567" w:rsidRDefault="00680E4C">
      <w:pPr>
        <w:spacing w:line="384" w:lineRule="auto"/>
        <w:ind w:firstLineChars="200" w:firstLine="480"/>
        <w:rPr>
          <w:rFonts w:ascii="宋体" w:hAnsi="宋体"/>
          <w:bCs/>
          <w:sz w:val="24"/>
        </w:rPr>
      </w:pPr>
      <w:r>
        <w:rPr>
          <w:rFonts w:ascii="宋体" w:hAnsi="宋体" w:hint="eastAsia"/>
          <w:bCs/>
          <w:sz w:val="24"/>
        </w:rPr>
        <w:t>（21）在全国银行间同业市场中的债券回购最长期限为1年，债券回购到期后不得展期；</w:t>
      </w:r>
    </w:p>
    <w:p w14:paraId="38F7C1FD" w14:textId="77777777" w:rsidR="00DD2567" w:rsidRDefault="00680E4C">
      <w:pPr>
        <w:spacing w:line="384" w:lineRule="auto"/>
        <w:ind w:firstLineChars="200" w:firstLine="480"/>
        <w:rPr>
          <w:rFonts w:ascii="宋体" w:hAnsi="宋体"/>
          <w:bCs/>
          <w:sz w:val="24"/>
        </w:rPr>
      </w:pPr>
      <w:r>
        <w:rPr>
          <w:rFonts w:ascii="宋体" w:hAnsi="宋体" w:hint="eastAsia"/>
          <w:bCs/>
          <w:sz w:val="24"/>
        </w:rPr>
        <w:t>（22）</w:t>
      </w:r>
      <w:r>
        <w:rPr>
          <w:rFonts w:ascii="宋体" w:hAnsi="宋体" w:hint="eastAsia"/>
          <w:kern w:val="0"/>
          <w:sz w:val="24"/>
          <w:szCs w:val="24"/>
        </w:rPr>
        <w:t>本基金持有单只中小企业私募债券，其市值不得超过基金资产净值的10%；</w:t>
      </w:r>
    </w:p>
    <w:p w14:paraId="13D9EACB" w14:textId="77777777" w:rsidR="00DD2567" w:rsidRDefault="00680E4C">
      <w:pPr>
        <w:spacing w:line="384" w:lineRule="auto"/>
        <w:ind w:firstLineChars="200" w:firstLine="480"/>
        <w:rPr>
          <w:rFonts w:ascii="宋体" w:hAnsi="宋体"/>
          <w:bCs/>
          <w:sz w:val="24"/>
        </w:rPr>
      </w:pPr>
      <w:r>
        <w:rPr>
          <w:rFonts w:ascii="宋体" w:hAnsi="宋体" w:hint="eastAsia"/>
          <w:bCs/>
          <w:sz w:val="24"/>
        </w:rPr>
        <w:t>（23）流通受限证券投资遵照《关于基金投资非公开发行股票等流通受限证券有关问题的通知》（证监基金字[2006]141号）及相关规定执行；</w:t>
      </w:r>
    </w:p>
    <w:p w14:paraId="2A112618" w14:textId="77777777" w:rsidR="00DD2567" w:rsidRDefault="00680E4C">
      <w:pPr>
        <w:spacing w:line="384" w:lineRule="auto"/>
        <w:ind w:firstLineChars="200" w:firstLine="480"/>
        <w:rPr>
          <w:rFonts w:ascii="宋体" w:hAnsi="宋体"/>
          <w:bCs/>
          <w:sz w:val="24"/>
        </w:rPr>
      </w:pPr>
      <w:r>
        <w:rPr>
          <w:rFonts w:ascii="宋体" w:hAnsi="宋体" w:hint="eastAsia"/>
          <w:bCs/>
          <w:sz w:val="24"/>
        </w:rPr>
        <w:t>（24）本基金的基金资产总值不得超过基金资产净值的140%；</w:t>
      </w:r>
    </w:p>
    <w:p w14:paraId="69369A85" w14:textId="45665B58" w:rsidR="00DD2567" w:rsidRDefault="00680E4C">
      <w:pPr>
        <w:spacing w:line="384" w:lineRule="auto"/>
        <w:ind w:firstLineChars="200" w:firstLine="480"/>
        <w:rPr>
          <w:rFonts w:ascii="宋体" w:hAnsi="宋体"/>
          <w:bCs/>
          <w:sz w:val="24"/>
        </w:rPr>
      </w:pPr>
      <w:r>
        <w:rPr>
          <w:rFonts w:ascii="宋体" w:hAnsi="宋体" w:hint="eastAsia"/>
          <w:bCs/>
          <w:sz w:val="24"/>
        </w:rPr>
        <w:t>（2</w:t>
      </w:r>
      <w:r w:rsidR="00420E08">
        <w:rPr>
          <w:rFonts w:ascii="宋体" w:hAnsi="宋体" w:hint="eastAsia"/>
          <w:bCs/>
          <w:sz w:val="24"/>
        </w:rPr>
        <w:t>5</w:t>
      </w:r>
      <w:r>
        <w:rPr>
          <w:rFonts w:ascii="宋体" w:hAnsi="宋体" w:hint="eastAsia"/>
          <w:bCs/>
          <w:sz w:val="24"/>
        </w:rPr>
        <w:t>）法律法规、基金合同规定的其他比例限制。</w:t>
      </w:r>
    </w:p>
    <w:p w14:paraId="6ED2C70A" w14:textId="77777777" w:rsidR="00DD2567" w:rsidRDefault="00680E4C">
      <w:pPr>
        <w:spacing w:line="384" w:lineRule="auto"/>
        <w:ind w:firstLineChars="200" w:firstLine="480"/>
        <w:rPr>
          <w:rFonts w:ascii="宋体" w:hAnsi="宋体"/>
          <w:bCs/>
          <w:sz w:val="24"/>
        </w:rPr>
      </w:pPr>
      <w:r>
        <w:rPr>
          <w:rFonts w:ascii="宋体" w:hAnsi="宋体"/>
          <w:bCs/>
          <w:sz w:val="24"/>
        </w:rPr>
        <w:t>因证券</w:t>
      </w:r>
      <w:r>
        <w:rPr>
          <w:rFonts w:ascii="宋体" w:hAnsi="宋体" w:hint="eastAsia"/>
          <w:bCs/>
          <w:sz w:val="24"/>
        </w:rPr>
        <w:t>或期货</w:t>
      </w:r>
      <w:r>
        <w:rPr>
          <w:rFonts w:ascii="宋体" w:hAnsi="宋体"/>
          <w:bCs/>
          <w:sz w:val="24"/>
        </w:rPr>
        <w:t>市场波动、上市公司合并、基金规模变动</w:t>
      </w:r>
      <w:r>
        <w:rPr>
          <w:rFonts w:ascii="宋体" w:hAnsi="宋体" w:hint="eastAsia"/>
          <w:bCs/>
          <w:sz w:val="24"/>
        </w:rPr>
        <w:t>等基金管理人之外的因素致使基金投资比例不符合上述规定投资比例的，基金管理人应当在10个交易日内进行调整，但中国证监会规定的特殊情形除外。法律法规另有规定的，从其规定。</w:t>
      </w:r>
    </w:p>
    <w:p w14:paraId="272ACBF6" w14:textId="77777777" w:rsidR="00DD2567" w:rsidRDefault="00680E4C">
      <w:pPr>
        <w:spacing w:line="384" w:lineRule="auto"/>
        <w:ind w:firstLineChars="200" w:firstLine="480"/>
        <w:rPr>
          <w:rFonts w:ascii="宋体" w:hAnsi="宋体"/>
          <w:bCs/>
          <w:sz w:val="24"/>
        </w:rPr>
      </w:pPr>
      <w:r>
        <w:rPr>
          <w:rFonts w:ascii="宋体" w:hAnsi="宋体"/>
          <w:bCs/>
          <w:sz w:val="24"/>
        </w:rPr>
        <w:lastRenderedPageBreak/>
        <w:t>基金管理人应当自基金合同生效之日起</w:t>
      </w:r>
      <w:r>
        <w:rPr>
          <w:rFonts w:ascii="宋体" w:hAnsi="宋体" w:hint="eastAsia"/>
          <w:bCs/>
          <w:sz w:val="24"/>
        </w:rPr>
        <w:t>6</w:t>
      </w:r>
      <w:r>
        <w:rPr>
          <w:rFonts w:ascii="宋体" w:hAnsi="宋体"/>
          <w:bCs/>
          <w:sz w:val="24"/>
        </w:rPr>
        <w:t>个月内使基金的投资组合比例符合基金合同的有关约定。</w:t>
      </w:r>
      <w:r>
        <w:rPr>
          <w:rFonts w:ascii="宋体" w:hAnsi="宋体" w:hint="eastAsia"/>
          <w:bCs/>
          <w:sz w:val="24"/>
        </w:rPr>
        <w:t>在上述期间内，本基金的投资范围、投资策略应当符合基金合同的约定。</w:t>
      </w:r>
      <w:r>
        <w:rPr>
          <w:rFonts w:ascii="宋体" w:hAnsi="宋体"/>
          <w:bCs/>
          <w:sz w:val="24"/>
        </w:rPr>
        <w:t>基金托管人对基金的投资的监督与检查自基金合同生效之日起开始。</w:t>
      </w:r>
    </w:p>
    <w:p w14:paraId="2FDF63A0" w14:textId="02CB0D6C" w:rsidR="00DD2567" w:rsidRDefault="00680E4C">
      <w:pPr>
        <w:spacing w:line="384" w:lineRule="auto"/>
        <w:ind w:firstLineChars="200" w:firstLine="480"/>
        <w:rPr>
          <w:rFonts w:ascii="宋体" w:hAnsi="宋体"/>
          <w:bCs/>
          <w:sz w:val="24"/>
        </w:rPr>
      </w:pPr>
      <w:r>
        <w:rPr>
          <w:rFonts w:ascii="宋体" w:hAnsi="宋体" w:hint="eastAsia"/>
          <w:bCs/>
          <w:sz w:val="24"/>
        </w:rPr>
        <w:t>如果法律法规或监管部门对</w:t>
      </w:r>
      <w:r w:rsidR="0085123B">
        <w:rPr>
          <w:rFonts w:ascii="宋体" w:hAnsi="宋体" w:hint="eastAsia"/>
          <w:bCs/>
          <w:sz w:val="24"/>
        </w:rPr>
        <w:t>基金合同</w:t>
      </w:r>
      <w:r>
        <w:rPr>
          <w:rFonts w:ascii="宋体" w:hAnsi="宋体" w:hint="eastAsia"/>
          <w:bCs/>
          <w:sz w:val="24"/>
        </w:rPr>
        <w:t>约定投资组合比例限制进行变更的，以变更后的规定为准。</w:t>
      </w:r>
      <w:r>
        <w:rPr>
          <w:rFonts w:ascii="宋体" w:hAnsi="宋体"/>
          <w:bCs/>
          <w:sz w:val="24"/>
        </w:rPr>
        <w:t>法律法规或监管部门取消上述限制，如适用于本基金，基金管理人</w:t>
      </w:r>
      <w:r>
        <w:rPr>
          <w:rFonts w:ascii="宋体" w:hAnsi="宋体" w:hint="eastAsia"/>
          <w:bCs/>
          <w:sz w:val="24"/>
        </w:rPr>
        <w:t>在</w:t>
      </w:r>
      <w:r>
        <w:rPr>
          <w:rFonts w:ascii="宋体" w:hAnsi="宋体"/>
          <w:bCs/>
          <w:sz w:val="24"/>
        </w:rPr>
        <w:t>履行适当程序后，则本基金投资不再受相关限制。</w:t>
      </w:r>
    </w:p>
    <w:p w14:paraId="27FDC100" w14:textId="77777777" w:rsidR="00DD2567" w:rsidRDefault="00680E4C">
      <w:pPr>
        <w:spacing w:line="384" w:lineRule="auto"/>
        <w:ind w:firstLineChars="200" w:firstLine="480"/>
        <w:rPr>
          <w:rFonts w:ascii="宋体" w:hAnsi="宋体"/>
          <w:bCs/>
          <w:sz w:val="24"/>
        </w:rPr>
      </w:pPr>
      <w:r>
        <w:rPr>
          <w:rFonts w:ascii="宋体" w:hAnsi="宋体"/>
          <w:bCs/>
          <w:sz w:val="24"/>
        </w:rPr>
        <w:t>2</w:t>
      </w:r>
      <w:r>
        <w:rPr>
          <w:rFonts w:ascii="宋体" w:hAnsi="宋体" w:hint="eastAsia"/>
          <w:bCs/>
          <w:sz w:val="24"/>
        </w:rPr>
        <w:t>、</w:t>
      </w:r>
      <w:r>
        <w:rPr>
          <w:rFonts w:ascii="宋体" w:hAnsi="宋体"/>
          <w:bCs/>
          <w:sz w:val="24"/>
        </w:rPr>
        <w:t>禁止行为</w:t>
      </w:r>
    </w:p>
    <w:p w14:paraId="4CE1E89A" w14:textId="77777777" w:rsidR="00DD2567" w:rsidRDefault="00680E4C">
      <w:pPr>
        <w:spacing w:line="384" w:lineRule="auto"/>
        <w:ind w:firstLineChars="200" w:firstLine="480"/>
        <w:rPr>
          <w:rFonts w:ascii="宋体" w:hAnsi="宋体"/>
          <w:bCs/>
          <w:sz w:val="24"/>
        </w:rPr>
      </w:pPr>
      <w:r>
        <w:rPr>
          <w:rFonts w:ascii="宋体" w:hAnsi="宋体"/>
          <w:bCs/>
          <w:sz w:val="24"/>
        </w:rPr>
        <w:t>为维护基金份额持有人的合法权益，基金财产不得用于下列投资或者活动：</w:t>
      </w:r>
    </w:p>
    <w:p w14:paraId="11A5405A" w14:textId="77777777" w:rsidR="00DD2567" w:rsidRDefault="00680E4C">
      <w:pPr>
        <w:spacing w:line="384" w:lineRule="auto"/>
        <w:ind w:firstLineChars="200" w:firstLine="480"/>
        <w:rPr>
          <w:rFonts w:ascii="宋体" w:hAnsi="宋体"/>
          <w:bCs/>
          <w:sz w:val="24"/>
        </w:rPr>
      </w:pPr>
      <w:r>
        <w:rPr>
          <w:rFonts w:ascii="宋体" w:hAnsi="宋体"/>
          <w:bCs/>
          <w:sz w:val="24"/>
        </w:rPr>
        <w:t>（1）承销证券；</w:t>
      </w:r>
    </w:p>
    <w:p w14:paraId="0BA27F76" w14:textId="77777777" w:rsidR="00DD2567" w:rsidRDefault="00680E4C">
      <w:pPr>
        <w:spacing w:line="384" w:lineRule="auto"/>
        <w:ind w:firstLineChars="200" w:firstLine="480"/>
        <w:rPr>
          <w:rFonts w:ascii="宋体" w:hAnsi="宋体"/>
          <w:bCs/>
          <w:sz w:val="24"/>
        </w:rPr>
      </w:pPr>
      <w:r>
        <w:rPr>
          <w:rFonts w:ascii="宋体" w:hAnsi="宋体"/>
          <w:bCs/>
          <w:sz w:val="24"/>
        </w:rPr>
        <w:t>（</w:t>
      </w:r>
      <w:r>
        <w:rPr>
          <w:rFonts w:ascii="宋体" w:hAnsi="宋体" w:hint="eastAsia"/>
          <w:bCs/>
          <w:sz w:val="24"/>
        </w:rPr>
        <w:t>2</w:t>
      </w:r>
      <w:r>
        <w:rPr>
          <w:rFonts w:ascii="宋体" w:hAnsi="宋体"/>
          <w:bCs/>
          <w:sz w:val="24"/>
        </w:rPr>
        <w:t>）</w:t>
      </w:r>
      <w:r>
        <w:rPr>
          <w:rFonts w:ascii="宋体" w:hAnsi="宋体" w:hint="eastAsia"/>
          <w:bCs/>
          <w:sz w:val="24"/>
        </w:rPr>
        <w:t>违反规定</w:t>
      </w:r>
      <w:r>
        <w:rPr>
          <w:rFonts w:ascii="宋体" w:hAnsi="宋体"/>
          <w:bCs/>
          <w:sz w:val="24"/>
        </w:rPr>
        <w:t>向他人贷款或者提供担保；</w:t>
      </w:r>
    </w:p>
    <w:p w14:paraId="74007F45" w14:textId="77777777" w:rsidR="00DD2567" w:rsidRDefault="00680E4C">
      <w:pPr>
        <w:spacing w:line="384" w:lineRule="auto"/>
        <w:ind w:firstLineChars="200" w:firstLine="480"/>
        <w:rPr>
          <w:rFonts w:ascii="宋体" w:hAnsi="宋体"/>
          <w:bCs/>
          <w:sz w:val="24"/>
        </w:rPr>
      </w:pPr>
      <w:r>
        <w:rPr>
          <w:rFonts w:ascii="宋体" w:hAnsi="宋体"/>
          <w:bCs/>
          <w:sz w:val="24"/>
        </w:rPr>
        <w:t>（</w:t>
      </w:r>
      <w:r>
        <w:rPr>
          <w:rFonts w:ascii="宋体" w:hAnsi="宋体" w:hint="eastAsia"/>
          <w:bCs/>
          <w:sz w:val="24"/>
        </w:rPr>
        <w:t>3</w:t>
      </w:r>
      <w:r>
        <w:rPr>
          <w:rFonts w:ascii="宋体" w:hAnsi="宋体"/>
          <w:bCs/>
          <w:sz w:val="24"/>
        </w:rPr>
        <w:t>）从事承担无限责任的投资；</w:t>
      </w:r>
    </w:p>
    <w:p w14:paraId="521F7D1D" w14:textId="77777777" w:rsidR="00DD2567" w:rsidRDefault="00680E4C">
      <w:pPr>
        <w:spacing w:line="384" w:lineRule="auto"/>
        <w:ind w:firstLineChars="200" w:firstLine="480"/>
        <w:rPr>
          <w:rFonts w:ascii="宋体" w:hAnsi="宋体"/>
          <w:bCs/>
          <w:sz w:val="24"/>
        </w:rPr>
      </w:pPr>
      <w:r>
        <w:rPr>
          <w:rFonts w:ascii="宋体" w:hAnsi="宋体"/>
          <w:bCs/>
          <w:sz w:val="24"/>
        </w:rPr>
        <w:t>（</w:t>
      </w:r>
      <w:r>
        <w:rPr>
          <w:rFonts w:ascii="宋体" w:hAnsi="宋体" w:hint="eastAsia"/>
          <w:bCs/>
          <w:sz w:val="24"/>
        </w:rPr>
        <w:t>4</w:t>
      </w:r>
      <w:r>
        <w:rPr>
          <w:rFonts w:ascii="宋体" w:hAnsi="宋体"/>
          <w:bCs/>
          <w:sz w:val="24"/>
        </w:rPr>
        <w:t>）买卖其他基金份额，但是</w:t>
      </w:r>
      <w:r>
        <w:rPr>
          <w:rFonts w:ascii="宋体" w:hAnsi="宋体" w:hint="eastAsia"/>
          <w:bCs/>
          <w:sz w:val="24"/>
        </w:rPr>
        <w:t>中国证监会</w:t>
      </w:r>
      <w:r>
        <w:rPr>
          <w:rFonts w:ascii="宋体" w:hAnsi="宋体"/>
          <w:bCs/>
          <w:sz w:val="24"/>
        </w:rPr>
        <w:t>另有规定的除外；</w:t>
      </w:r>
    </w:p>
    <w:p w14:paraId="1D0FB5E7" w14:textId="77777777" w:rsidR="00DD2567" w:rsidRDefault="00680E4C">
      <w:pPr>
        <w:spacing w:line="384" w:lineRule="auto"/>
        <w:ind w:firstLineChars="200" w:firstLine="480"/>
        <w:rPr>
          <w:rFonts w:ascii="宋体" w:hAnsi="宋体"/>
          <w:bCs/>
          <w:sz w:val="24"/>
        </w:rPr>
      </w:pPr>
      <w:r>
        <w:rPr>
          <w:rFonts w:ascii="宋体" w:hAnsi="宋体"/>
          <w:bCs/>
          <w:sz w:val="24"/>
        </w:rPr>
        <w:t>（</w:t>
      </w:r>
      <w:r>
        <w:rPr>
          <w:rFonts w:ascii="宋体" w:hAnsi="宋体" w:hint="eastAsia"/>
          <w:bCs/>
          <w:sz w:val="24"/>
        </w:rPr>
        <w:t>5</w:t>
      </w:r>
      <w:r>
        <w:rPr>
          <w:rFonts w:ascii="宋体" w:hAnsi="宋体"/>
          <w:bCs/>
          <w:sz w:val="24"/>
        </w:rPr>
        <w:t>）向其基金管理人、基金托管人出资；</w:t>
      </w:r>
    </w:p>
    <w:p w14:paraId="7EC215C3" w14:textId="77777777" w:rsidR="00DD2567" w:rsidRDefault="00680E4C">
      <w:pPr>
        <w:spacing w:line="384" w:lineRule="auto"/>
        <w:ind w:firstLineChars="200" w:firstLine="480"/>
        <w:rPr>
          <w:rFonts w:ascii="宋体" w:hAnsi="宋体"/>
          <w:bCs/>
          <w:sz w:val="24"/>
        </w:rPr>
      </w:pPr>
      <w:r>
        <w:rPr>
          <w:rFonts w:ascii="宋体" w:hAnsi="宋体"/>
          <w:bCs/>
          <w:sz w:val="24"/>
        </w:rPr>
        <w:t>（</w:t>
      </w:r>
      <w:r>
        <w:rPr>
          <w:rFonts w:ascii="宋体" w:hAnsi="宋体" w:hint="eastAsia"/>
          <w:bCs/>
          <w:sz w:val="24"/>
        </w:rPr>
        <w:t>6</w:t>
      </w:r>
      <w:r>
        <w:rPr>
          <w:rFonts w:ascii="宋体" w:hAnsi="宋体"/>
          <w:bCs/>
          <w:sz w:val="24"/>
        </w:rPr>
        <w:t>）从事内幕交易、操纵证券交易价格及其他不正当的证券交易活动；</w:t>
      </w:r>
    </w:p>
    <w:p w14:paraId="76C9D88A" w14:textId="77777777" w:rsidR="00DD2567" w:rsidRDefault="00680E4C">
      <w:pPr>
        <w:spacing w:line="384" w:lineRule="auto"/>
        <w:ind w:firstLineChars="200" w:firstLine="480"/>
        <w:rPr>
          <w:rFonts w:ascii="宋体" w:hAnsi="宋体"/>
          <w:bCs/>
          <w:sz w:val="24"/>
        </w:rPr>
      </w:pPr>
      <w:r>
        <w:rPr>
          <w:rFonts w:ascii="宋体" w:hAnsi="宋体"/>
          <w:bCs/>
          <w:sz w:val="24"/>
        </w:rPr>
        <w:t>（</w:t>
      </w:r>
      <w:r>
        <w:rPr>
          <w:rFonts w:ascii="宋体" w:hAnsi="宋体" w:hint="eastAsia"/>
          <w:bCs/>
          <w:sz w:val="24"/>
        </w:rPr>
        <w:t>7</w:t>
      </w:r>
      <w:r>
        <w:rPr>
          <w:rFonts w:ascii="宋体" w:hAnsi="宋体"/>
          <w:bCs/>
          <w:sz w:val="24"/>
        </w:rPr>
        <w:t>）依照法律</w:t>
      </w:r>
      <w:r>
        <w:rPr>
          <w:rFonts w:ascii="宋体" w:hAnsi="宋体" w:hint="eastAsia"/>
          <w:bCs/>
          <w:sz w:val="24"/>
        </w:rPr>
        <w:t>、行政</w:t>
      </w:r>
      <w:r>
        <w:rPr>
          <w:rFonts w:ascii="宋体" w:hAnsi="宋体"/>
          <w:bCs/>
          <w:sz w:val="24"/>
        </w:rPr>
        <w:t>法规</w:t>
      </w:r>
      <w:r>
        <w:rPr>
          <w:rFonts w:ascii="宋体" w:hAnsi="宋体" w:hint="eastAsia"/>
          <w:bCs/>
          <w:sz w:val="24"/>
        </w:rPr>
        <w:t>和</w:t>
      </w:r>
      <w:r>
        <w:rPr>
          <w:rFonts w:ascii="宋体" w:hAnsi="宋体"/>
          <w:bCs/>
          <w:sz w:val="24"/>
        </w:rPr>
        <w:t>由中国证监会规定禁止的其他活动</w:t>
      </w:r>
      <w:r>
        <w:rPr>
          <w:rFonts w:ascii="宋体" w:hAnsi="宋体" w:hint="eastAsia"/>
          <w:bCs/>
          <w:sz w:val="24"/>
        </w:rPr>
        <w:t>。</w:t>
      </w:r>
    </w:p>
    <w:p w14:paraId="38852C55" w14:textId="77777777" w:rsidR="00DD2567" w:rsidRDefault="00680E4C">
      <w:pPr>
        <w:spacing w:line="384" w:lineRule="auto"/>
        <w:ind w:firstLineChars="200" w:firstLine="480"/>
        <w:rPr>
          <w:rFonts w:ascii="宋体" w:hAnsi="宋体"/>
          <w:bCs/>
          <w:sz w:val="24"/>
        </w:rPr>
      </w:pPr>
      <w:r>
        <w:rPr>
          <w:rFonts w:ascii="宋体" w:hAnsi="宋体"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w:t>
      </w:r>
      <w:r>
        <w:rPr>
          <w:rFonts w:ascii="宋体" w:hAnsi="宋体"/>
          <w:bCs/>
          <w:sz w:val="24"/>
        </w:rPr>
        <w:t>经过</w:t>
      </w:r>
      <w:r>
        <w:rPr>
          <w:rFonts w:ascii="宋体" w:hAnsi="宋体" w:hint="eastAsia"/>
          <w:bCs/>
          <w:sz w:val="24"/>
        </w:rPr>
        <w:t>三分之二</w:t>
      </w:r>
      <w:r>
        <w:rPr>
          <w:rFonts w:ascii="宋体" w:hAnsi="宋体"/>
          <w:bCs/>
          <w:sz w:val="24"/>
        </w:rPr>
        <w:t>以上的独立董事通过</w:t>
      </w:r>
      <w:r>
        <w:rPr>
          <w:rFonts w:ascii="宋体" w:hAnsi="宋体" w:hint="eastAsia"/>
          <w:bCs/>
          <w:sz w:val="24"/>
        </w:rPr>
        <w:t>。基金管理人董事会应至少每半年对关联交易事项进行审查。</w:t>
      </w:r>
    </w:p>
    <w:p w14:paraId="680278A4" w14:textId="77777777" w:rsidR="00DD2567" w:rsidRDefault="00680E4C">
      <w:pPr>
        <w:spacing w:line="384" w:lineRule="auto"/>
        <w:ind w:firstLineChars="200" w:firstLine="480"/>
        <w:rPr>
          <w:rFonts w:ascii="宋体" w:hAnsi="宋体"/>
          <w:bCs/>
          <w:sz w:val="24"/>
        </w:rPr>
      </w:pPr>
      <w:r>
        <w:rPr>
          <w:rFonts w:ascii="宋体" w:hAnsi="宋体" w:hint="eastAsia"/>
          <w:bCs/>
          <w:sz w:val="24"/>
        </w:rPr>
        <w:t>法律、行政法规或监管部门取消上述限制，如适用于本基金，则本基金投资不再受相关限制。</w:t>
      </w:r>
    </w:p>
    <w:p w14:paraId="41DB1B85" w14:textId="77777777" w:rsidR="00DD2567" w:rsidRDefault="00680E4C">
      <w:pPr>
        <w:spacing w:line="384" w:lineRule="auto"/>
        <w:ind w:firstLineChars="200" w:firstLine="480"/>
        <w:rPr>
          <w:rFonts w:ascii="宋体" w:hAnsi="宋体"/>
          <w:bCs/>
          <w:sz w:val="24"/>
        </w:rPr>
      </w:pPr>
      <w:r>
        <w:rPr>
          <w:rFonts w:ascii="宋体" w:hAnsi="宋体" w:hint="eastAsia"/>
          <w:bCs/>
          <w:sz w:val="24"/>
        </w:rPr>
        <w:t>五</w:t>
      </w:r>
      <w:r>
        <w:rPr>
          <w:rFonts w:ascii="宋体" w:hAnsi="宋体"/>
          <w:bCs/>
          <w:sz w:val="24"/>
        </w:rPr>
        <w:t>、业绩比较基准</w:t>
      </w:r>
    </w:p>
    <w:p w14:paraId="0DBBA565" w14:textId="77777777" w:rsidR="00DD2567" w:rsidRDefault="00680E4C">
      <w:pPr>
        <w:spacing w:line="384" w:lineRule="auto"/>
        <w:ind w:firstLineChars="200" w:firstLine="480"/>
        <w:rPr>
          <w:rFonts w:ascii="宋体" w:hAnsi="宋体"/>
          <w:sz w:val="24"/>
        </w:rPr>
      </w:pPr>
      <w:r>
        <w:rPr>
          <w:rFonts w:ascii="宋体" w:hAnsi="宋体" w:hint="eastAsia"/>
          <w:sz w:val="24"/>
        </w:rPr>
        <w:t>1、本基金的业绩比较基准</w:t>
      </w:r>
    </w:p>
    <w:p w14:paraId="72C4D2A1" w14:textId="77777777" w:rsidR="00DD2567" w:rsidRDefault="00680E4C">
      <w:pPr>
        <w:spacing w:line="384" w:lineRule="auto"/>
        <w:ind w:firstLineChars="200" w:firstLine="480"/>
        <w:jc w:val="left"/>
        <w:rPr>
          <w:rFonts w:ascii="宋体" w:hAnsi="宋体"/>
          <w:sz w:val="24"/>
        </w:rPr>
      </w:pPr>
      <w:r>
        <w:rPr>
          <w:rFonts w:ascii="宋体" w:hAnsi="宋体" w:hint="eastAsia"/>
          <w:sz w:val="24"/>
        </w:rPr>
        <w:t>本基金股票投资部分的业绩比较基准为沪深300指数收益率，债券投资部</w:t>
      </w:r>
      <w:r>
        <w:rPr>
          <w:rFonts w:ascii="宋体" w:hAnsi="宋体" w:hint="eastAsia"/>
          <w:sz w:val="24"/>
        </w:rPr>
        <w:lastRenderedPageBreak/>
        <w:t>分为中债综合指数收益率，复合业绩比较基准为：</w:t>
      </w:r>
    </w:p>
    <w:p w14:paraId="03D15A83" w14:textId="77777777" w:rsidR="00DD2567" w:rsidRDefault="00680E4C">
      <w:pPr>
        <w:spacing w:line="384" w:lineRule="auto"/>
        <w:ind w:firstLineChars="200" w:firstLine="480"/>
        <w:jc w:val="left"/>
        <w:rPr>
          <w:rFonts w:ascii="宋体" w:hAnsi="宋体"/>
          <w:sz w:val="24"/>
        </w:rPr>
      </w:pPr>
      <w:r>
        <w:rPr>
          <w:rFonts w:ascii="宋体" w:hAnsi="宋体" w:hint="eastAsia"/>
          <w:sz w:val="24"/>
        </w:rPr>
        <w:t>沪深300指数收益率×50%</w:t>
      </w:r>
      <w:bookmarkStart w:id="191" w:name="_Toc292454642"/>
      <w:r>
        <w:rPr>
          <w:rFonts w:ascii="宋体" w:hAnsi="宋体" w:hint="eastAsia"/>
          <w:sz w:val="24"/>
        </w:rPr>
        <w:t>＋中债综合指数收益率×</w:t>
      </w:r>
      <w:bookmarkEnd w:id="191"/>
      <w:r>
        <w:rPr>
          <w:rFonts w:ascii="宋体" w:hAnsi="宋体" w:hint="eastAsia"/>
          <w:sz w:val="24"/>
        </w:rPr>
        <w:t>50</w:t>
      </w:r>
      <w:r>
        <w:rPr>
          <w:rFonts w:ascii="宋体" w:hAnsi="宋体"/>
          <w:sz w:val="24"/>
        </w:rPr>
        <w:t>%</w:t>
      </w:r>
    </w:p>
    <w:p w14:paraId="1189F5FC" w14:textId="77777777" w:rsidR="00DD2567" w:rsidRDefault="00680E4C">
      <w:pPr>
        <w:spacing w:line="384" w:lineRule="auto"/>
        <w:ind w:firstLine="420"/>
        <w:rPr>
          <w:rFonts w:ascii="宋体" w:hAnsi="宋体"/>
          <w:sz w:val="24"/>
        </w:rPr>
      </w:pPr>
      <w:r>
        <w:rPr>
          <w:rFonts w:ascii="宋体" w:hAnsi="宋体" w:hint="eastAsia"/>
          <w:sz w:val="24"/>
        </w:rPr>
        <w:t>2、选择业绩比较基准的理由</w:t>
      </w:r>
    </w:p>
    <w:p w14:paraId="74AE8655" w14:textId="77777777" w:rsidR="00DD2567" w:rsidRDefault="00680E4C">
      <w:pPr>
        <w:spacing w:line="384" w:lineRule="auto"/>
        <w:ind w:firstLineChars="200" w:firstLine="480"/>
        <w:jc w:val="left"/>
        <w:rPr>
          <w:rFonts w:ascii="宋体" w:hAnsi="宋体"/>
          <w:sz w:val="24"/>
        </w:rPr>
      </w:pPr>
      <w:r>
        <w:rPr>
          <w:rFonts w:ascii="宋体" w:hAnsi="宋体" w:hint="eastAsia"/>
          <w:sz w:val="24"/>
        </w:rPr>
        <w:t>沪深300 指数是反映沪深两市A股综合表现的跨市场成份指数，由沪深两市300只规模大、流动性好的股票作为样本编制而成。它涵盖了沪深两市超过六成的市值，具有良好的市场代表性和较强的市场影响力。中债综合指数样本债券涵盖的范围全面，涵盖主要交易市场（银行间市场、交易所市场等）、不同发行主体（政府、企业等）和期限（长、中、短期等），具有广泛的市场代表性，能够很好地反映中国债券市场总体价格水平和变动趋势。</w:t>
      </w:r>
    </w:p>
    <w:p w14:paraId="66645726" w14:textId="77777777" w:rsidR="00DD2567" w:rsidRDefault="00680E4C">
      <w:pPr>
        <w:spacing w:line="408" w:lineRule="auto"/>
        <w:ind w:firstLineChars="200" w:firstLine="480"/>
        <w:jc w:val="left"/>
        <w:rPr>
          <w:rFonts w:ascii="宋体" w:hAnsi="宋体"/>
          <w:sz w:val="24"/>
        </w:rPr>
      </w:pPr>
      <w:r>
        <w:rPr>
          <w:rFonts w:ascii="宋体" w:hAnsi="宋体" w:hint="eastAsia"/>
          <w:sz w:val="24"/>
        </w:rPr>
        <w:t>基于本基金的投资范围和投资比例限制，选用上述业绩比较基准能够较好的反映本基金的风险收益特征。</w:t>
      </w:r>
    </w:p>
    <w:p w14:paraId="327038C7" w14:textId="77777777" w:rsidR="00DD2567" w:rsidRDefault="00680E4C">
      <w:pPr>
        <w:spacing w:line="408" w:lineRule="auto"/>
        <w:ind w:firstLineChars="200" w:firstLine="480"/>
        <w:jc w:val="left"/>
        <w:rPr>
          <w:rFonts w:ascii="宋体" w:hAnsi="宋体"/>
          <w:sz w:val="24"/>
        </w:rPr>
      </w:pPr>
      <w:r>
        <w:rPr>
          <w:rFonts w:ascii="宋体" w:hAnsi="宋体" w:hint="eastAsia"/>
          <w:sz w:val="24"/>
        </w:rPr>
        <w:t>如果今后法律法规发生变化，或者有更权威的、更能为市场普遍接受的业绩比较基准推出，或者是市场上出现更加适合用于本基金的业绩基准的指数时，基金管理人经与基金托管人协商一致并履行相关程序后，可以变更本基金业绩比较基准，报中国证监会备案并及时公告，无需召开基金份额持有人大会。</w:t>
      </w:r>
    </w:p>
    <w:p w14:paraId="163EFA52" w14:textId="77777777" w:rsidR="00DD2567" w:rsidRDefault="00680E4C">
      <w:pPr>
        <w:spacing w:line="408" w:lineRule="auto"/>
        <w:ind w:firstLineChars="200" w:firstLine="480"/>
        <w:rPr>
          <w:rFonts w:ascii="宋体" w:hAnsi="宋体"/>
          <w:bCs/>
          <w:sz w:val="24"/>
        </w:rPr>
      </w:pPr>
      <w:r>
        <w:rPr>
          <w:rFonts w:ascii="宋体" w:hAnsi="宋体"/>
          <w:bCs/>
          <w:sz w:val="24"/>
        </w:rPr>
        <w:t>六、风险收益特征</w:t>
      </w:r>
    </w:p>
    <w:p w14:paraId="0915CEF8" w14:textId="77777777" w:rsidR="00DD2567" w:rsidRDefault="00680E4C">
      <w:pPr>
        <w:spacing w:line="408" w:lineRule="auto"/>
        <w:ind w:firstLineChars="200" w:firstLine="480"/>
        <w:jc w:val="left"/>
        <w:rPr>
          <w:rFonts w:ascii="宋体" w:hAnsi="宋体"/>
          <w:sz w:val="24"/>
        </w:rPr>
      </w:pPr>
      <w:r>
        <w:rPr>
          <w:rFonts w:ascii="宋体" w:hAnsi="宋体" w:hint="eastAsia"/>
          <w:sz w:val="24"/>
        </w:rPr>
        <w:t>本基金为主动投资的混合型基金，其预期风险和收益高于债券型基金、货币市场基金，但低于股票型基金，属于证券投资基金中的中高风险、中高收益品种。</w:t>
      </w:r>
    </w:p>
    <w:p w14:paraId="24B1B5E5" w14:textId="77777777" w:rsidR="00C00DE9" w:rsidRDefault="00C00DE9" w:rsidP="00C00DE9">
      <w:pPr>
        <w:spacing w:line="408" w:lineRule="auto"/>
        <w:ind w:firstLineChars="200" w:firstLine="480"/>
        <w:jc w:val="left"/>
        <w:rPr>
          <w:bCs/>
          <w:sz w:val="24"/>
        </w:rPr>
      </w:pPr>
      <w:r w:rsidRPr="00F231A4">
        <w:rPr>
          <w:rFonts w:hint="eastAsia"/>
          <w:bCs/>
          <w:sz w:val="24"/>
        </w:rPr>
        <w:t>七、融资、融券</w:t>
      </w:r>
    </w:p>
    <w:p w14:paraId="509BD5B3" w14:textId="77777777" w:rsidR="00C00DE9" w:rsidRDefault="00C00DE9" w:rsidP="00C00DE9">
      <w:pPr>
        <w:spacing w:line="408" w:lineRule="auto"/>
        <w:ind w:firstLineChars="200" w:firstLine="480"/>
        <w:jc w:val="left"/>
        <w:rPr>
          <w:rFonts w:ascii="宋体" w:hAnsi="宋体"/>
          <w:sz w:val="24"/>
        </w:rPr>
      </w:pPr>
      <w:r w:rsidRPr="004F3009">
        <w:rPr>
          <w:rFonts w:ascii="宋体" w:hAnsi="宋体" w:hint="eastAsia"/>
          <w:sz w:val="24"/>
        </w:rPr>
        <w:t>本基金可以根据有关法律法规和政策的规定进行融资、融券。</w:t>
      </w:r>
    </w:p>
    <w:p w14:paraId="0562271F" w14:textId="77777777" w:rsidR="00C00DE9" w:rsidRDefault="00C00DE9" w:rsidP="00C00DE9">
      <w:pPr>
        <w:spacing w:line="408" w:lineRule="auto"/>
        <w:ind w:firstLineChars="200" w:firstLine="480"/>
        <w:jc w:val="left"/>
        <w:rPr>
          <w:bCs/>
          <w:sz w:val="24"/>
        </w:rPr>
      </w:pPr>
      <w:r>
        <w:rPr>
          <w:rFonts w:hint="eastAsia"/>
          <w:bCs/>
          <w:sz w:val="24"/>
        </w:rPr>
        <w:t>八</w:t>
      </w:r>
      <w:r w:rsidRPr="00F231A4">
        <w:rPr>
          <w:rFonts w:hint="eastAsia"/>
          <w:bCs/>
          <w:sz w:val="24"/>
        </w:rPr>
        <w:t>、</w:t>
      </w:r>
      <w:r>
        <w:rPr>
          <w:rFonts w:hint="eastAsia"/>
          <w:bCs/>
          <w:sz w:val="24"/>
        </w:rPr>
        <w:t>基金的投资组合报告</w:t>
      </w:r>
    </w:p>
    <w:p w14:paraId="218383BD" w14:textId="77777777" w:rsidR="00C00DE9" w:rsidRPr="00A4309C" w:rsidRDefault="00C00DE9" w:rsidP="00C00DE9">
      <w:pPr>
        <w:spacing w:line="408" w:lineRule="auto"/>
        <w:ind w:firstLineChars="200" w:firstLine="480"/>
        <w:jc w:val="left"/>
        <w:rPr>
          <w:rFonts w:ascii="宋体" w:hAnsi="宋体"/>
          <w:sz w:val="24"/>
        </w:rPr>
      </w:pPr>
      <w:r w:rsidRPr="00A4309C">
        <w:rPr>
          <w:rFonts w:ascii="宋体" w:hAnsi="宋体" w:hint="eastAsia"/>
          <w:sz w:val="24"/>
        </w:rPr>
        <w:t>基金管理人的董事会及董事保证本报告所载资料不存在虚假记载、误导性陈述或重大遗漏，并对其内容的真实性、准确性和完整性承担个别及连带责任。</w:t>
      </w:r>
    </w:p>
    <w:p w14:paraId="4D61BB55" w14:textId="3D915337" w:rsidR="00C00DE9" w:rsidRPr="00A4309C" w:rsidRDefault="00C00DE9" w:rsidP="00C00DE9">
      <w:pPr>
        <w:spacing w:line="408" w:lineRule="auto"/>
        <w:ind w:firstLineChars="200" w:firstLine="480"/>
        <w:jc w:val="left"/>
        <w:rPr>
          <w:rFonts w:ascii="宋体" w:hAnsi="宋体"/>
          <w:sz w:val="24"/>
        </w:rPr>
      </w:pPr>
      <w:r w:rsidRPr="00A4309C">
        <w:rPr>
          <w:rFonts w:ascii="宋体" w:hAnsi="宋体" w:hint="eastAsia"/>
          <w:sz w:val="24"/>
        </w:rPr>
        <w:t>基金托管人</w:t>
      </w:r>
      <w:r>
        <w:rPr>
          <w:rFonts w:ascii="宋体" w:hAnsi="宋体" w:hint="eastAsia"/>
          <w:sz w:val="24"/>
        </w:rPr>
        <w:t>交通银行</w:t>
      </w:r>
      <w:r w:rsidRPr="00A4309C">
        <w:rPr>
          <w:rFonts w:ascii="宋体" w:hAnsi="宋体" w:hint="eastAsia"/>
          <w:sz w:val="24"/>
        </w:rPr>
        <w:t>股份有限公司根据</w:t>
      </w:r>
      <w:r w:rsidR="0085123B">
        <w:rPr>
          <w:rFonts w:ascii="宋体" w:hAnsi="宋体" w:hint="eastAsia"/>
          <w:sz w:val="24"/>
        </w:rPr>
        <w:t>基金合同</w:t>
      </w:r>
      <w:r w:rsidRPr="00A4309C">
        <w:rPr>
          <w:rFonts w:ascii="宋体" w:hAnsi="宋体" w:hint="eastAsia"/>
          <w:sz w:val="24"/>
        </w:rPr>
        <w:t>规定，复核了本报告中的</w:t>
      </w:r>
      <w:r w:rsidRPr="00A4309C">
        <w:rPr>
          <w:rFonts w:ascii="宋体" w:hAnsi="宋体" w:hint="eastAsia"/>
          <w:sz w:val="24"/>
        </w:rPr>
        <w:lastRenderedPageBreak/>
        <w:t>财务指标、净值表现和投资组合报告等内容，保证复核内容不存在虚假记载、误导性陈述或者重大遗漏。</w:t>
      </w:r>
    </w:p>
    <w:p w14:paraId="395C8545" w14:textId="77777777" w:rsidR="00C00DE9" w:rsidRPr="00A4309C" w:rsidRDefault="00C00DE9" w:rsidP="00C00DE9">
      <w:pPr>
        <w:spacing w:line="408" w:lineRule="auto"/>
        <w:ind w:firstLineChars="200" w:firstLine="480"/>
        <w:jc w:val="left"/>
        <w:rPr>
          <w:rFonts w:ascii="宋体" w:hAnsi="宋体"/>
          <w:sz w:val="24"/>
        </w:rPr>
      </w:pPr>
      <w:r w:rsidRPr="00A4309C">
        <w:rPr>
          <w:rFonts w:ascii="宋体" w:hAnsi="宋体" w:hint="eastAsia"/>
          <w:sz w:val="24"/>
        </w:rPr>
        <w:t>本报告中财务资料未经审计。</w:t>
      </w:r>
    </w:p>
    <w:p w14:paraId="2D71764B" w14:textId="795E3F81" w:rsidR="00C00DE9" w:rsidRPr="00A4309C" w:rsidRDefault="00C00DE9" w:rsidP="00C00DE9">
      <w:pPr>
        <w:spacing w:line="408" w:lineRule="auto"/>
        <w:ind w:firstLineChars="200" w:firstLine="480"/>
        <w:jc w:val="left"/>
        <w:rPr>
          <w:rFonts w:ascii="宋体" w:hAnsi="宋体"/>
          <w:sz w:val="24"/>
        </w:rPr>
      </w:pPr>
      <w:r w:rsidRPr="00A4309C">
        <w:rPr>
          <w:rFonts w:ascii="宋体" w:hAnsi="宋体" w:hint="eastAsia"/>
          <w:sz w:val="24"/>
        </w:rPr>
        <w:t>本报告期自201</w:t>
      </w:r>
      <w:r>
        <w:rPr>
          <w:rFonts w:ascii="宋体" w:hAnsi="宋体"/>
          <w:sz w:val="24"/>
        </w:rPr>
        <w:t>6</w:t>
      </w:r>
      <w:r w:rsidRPr="00A4309C">
        <w:rPr>
          <w:rFonts w:ascii="宋体" w:hAnsi="宋体" w:hint="eastAsia"/>
          <w:sz w:val="24"/>
        </w:rPr>
        <w:t>年</w:t>
      </w:r>
      <w:r w:rsidR="00CB3D0B">
        <w:rPr>
          <w:rFonts w:ascii="宋体" w:hAnsi="宋体" w:hint="eastAsia"/>
          <w:sz w:val="24"/>
        </w:rPr>
        <w:t>7</w:t>
      </w:r>
      <w:r w:rsidRPr="00A4309C">
        <w:rPr>
          <w:rFonts w:ascii="宋体" w:hAnsi="宋体" w:hint="eastAsia"/>
          <w:sz w:val="24"/>
        </w:rPr>
        <w:t>月1日起至</w:t>
      </w:r>
      <w:r>
        <w:rPr>
          <w:rFonts w:ascii="宋体" w:hAnsi="宋体" w:hint="eastAsia"/>
          <w:sz w:val="24"/>
        </w:rPr>
        <w:t>9</w:t>
      </w:r>
      <w:r w:rsidRPr="00A4309C">
        <w:rPr>
          <w:rFonts w:ascii="宋体" w:hAnsi="宋体" w:hint="eastAsia"/>
          <w:sz w:val="24"/>
        </w:rPr>
        <w:t>月3</w:t>
      </w:r>
      <w:r>
        <w:rPr>
          <w:rFonts w:ascii="宋体" w:hAnsi="宋体" w:hint="eastAsia"/>
          <w:sz w:val="24"/>
        </w:rPr>
        <w:t>0</w:t>
      </w:r>
      <w:r w:rsidRPr="00A4309C">
        <w:rPr>
          <w:rFonts w:ascii="宋体" w:hAnsi="宋体" w:hint="eastAsia"/>
          <w:sz w:val="24"/>
        </w:rPr>
        <w:t>日止。</w:t>
      </w:r>
    </w:p>
    <w:p w14:paraId="74D3E6FF" w14:textId="77777777" w:rsidR="00C00DE9" w:rsidRDefault="00C00DE9" w:rsidP="00C00DE9">
      <w:pPr>
        <w:spacing w:line="408" w:lineRule="auto"/>
        <w:ind w:firstLineChars="200" w:firstLine="480"/>
        <w:jc w:val="left"/>
        <w:rPr>
          <w:rFonts w:ascii="宋体" w:hAnsi="宋体"/>
          <w:sz w:val="24"/>
        </w:rPr>
      </w:pPr>
      <w:r w:rsidRPr="00A4309C">
        <w:rPr>
          <w:rFonts w:ascii="宋体" w:hAnsi="宋体" w:hint="eastAsia"/>
          <w:sz w:val="24"/>
        </w:rPr>
        <w:t>1、报告期末基金资产组合情况</w:t>
      </w:r>
    </w:p>
    <w:p w14:paraId="0051B6FB" w14:textId="77777777" w:rsidR="00C00DE9" w:rsidRPr="00C6511B" w:rsidRDefault="00C00DE9" w:rsidP="00C00DE9">
      <w:pPr>
        <w:spacing w:line="408" w:lineRule="auto"/>
        <w:ind w:firstLineChars="200" w:firstLine="560"/>
        <w:jc w:val="right"/>
        <w:rPr>
          <w:rFonts w:ascii="宋体" w:hAnsi="宋体"/>
          <w:sz w:val="28"/>
          <w:szCs w:val="28"/>
        </w:rPr>
      </w:pPr>
      <w:r w:rsidRPr="00C6511B">
        <w:rPr>
          <w:rFonts w:hint="eastAsia"/>
          <w:color w:val="000000"/>
          <w:sz w:val="28"/>
          <w:szCs w:val="28"/>
        </w:rPr>
        <w:t>金额单位：人民币元</w:t>
      </w:r>
    </w:p>
    <w:tbl>
      <w:tblPr>
        <w:tblW w:w="9030" w:type="dxa"/>
        <w:tblInd w:w="108" w:type="dxa"/>
        <w:tblLayout w:type="fixed"/>
        <w:tblLook w:val="0000" w:firstRow="0" w:lastRow="0" w:firstColumn="0" w:lastColumn="0" w:noHBand="0" w:noVBand="0"/>
      </w:tblPr>
      <w:tblGrid>
        <w:gridCol w:w="722"/>
        <w:gridCol w:w="3612"/>
        <w:gridCol w:w="2529"/>
        <w:gridCol w:w="2167"/>
      </w:tblGrid>
      <w:tr w:rsidR="00C00DE9" w:rsidRPr="00F60BEC" w14:paraId="06E9D41B"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59E575DA"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序号</w:t>
            </w:r>
          </w:p>
        </w:tc>
        <w:tc>
          <w:tcPr>
            <w:tcW w:w="3612" w:type="dxa"/>
            <w:tcBorders>
              <w:top w:val="single" w:sz="8" w:space="0" w:color="000000"/>
              <w:left w:val="single" w:sz="8" w:space="0" w:color="000000"/>
              <w:bottom w:val="single" w:sz="8" w:space="0" w:color="000000"/>
              <w:right w:val="single" w:sz="8" w:space="0" w:color="000000"/>
            </w:tcBorders>
            <w:vAlign w:val="center"/>
          </w:tcPr>
          <w:p w14:paraId="52E70EA7"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项目</w:t>
            </w:r>
          </w:p>
        </w:tc>
        <w:tc>
          <w:tcPr>
            <w:tcW w:w="2529" w:type="dxa"/>
            <w:tcBorders>
              <w:top w:val="single" w:sz="8" w:space="0" w:color="000000"/>
              <w:left w:val="single" w:sz="8" w:space="0" w:color="000000"/>
              <w:bottom w:val="single" w:sz="8" w:space="0" w:color="000000"/>
              <w:right w:val="single" w:sz="8" w:space="0" w:color="000000"/>
            </w:tcBorders>
            <w:vAlign w:val="center"/>
          </w:tcPr>
          <w:p w14:paraId="0529F876"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金额</w:t>
            </w:r>
          </w:p>
        </w:tc>
        <w:tc>
          <w:tcPr>
            <w:tcW w:w="2167" w:type="dxa"/>
            <w:tcBorders>
              <w:top w:val="single" w:sz="8" w:space="0" w:color="000000"/>
              <w:left w:val="single" w:sz="8" w:space="0" w:color="000000"/>
              <w:bottom w:val="single" w:sz="8" w:space="0" w:color="000000"/>
              <w:right w:val="single" w:sz="8" w:space="0" w:color="000000"/>
            </w:tcBorders>
            <w:vAlign w:val="center"/>
          </w:tcPr>
          <w:p w14:paraId="362D6789"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占基金总资产的比例（</w:t>
            </w:r>
            <w:r w:rsidRPr="00F60BEC">
              <w:rPr>
                <w:rFonts w:asciiTheme="minorEastAsia" w:hAnsiTheme="minorEastAsia"/>
                <w:color w:val="000000"/>
                <w:kern w:val="0"/>
                <w:sz w:val="24"/>
                <w:szCs w:val="24"/>
              </w:rPr>
              <w:t>%</w:t>
            </w:r>
            <w:r w:rsidRPr="00F60BEC">
              <w:rPr>
                <w:rFonts w:asciiTheme="minorEastAsia" w:hAnsiTheme="minorEastAsia" w:hint="eastAsia"/>
                <w:color w:val="000000"/>
                <w:kern w:val="0"/>
                <w:sz w:val="24"/>
                <w:szCs w:val="24"/>
              </w:rPr>
              <w:t>）</w:t>
            </w:r>
          </w:p>
        </w:tc>
      </w:tr>
      <w:tr w:rsidR="00B76D75" w:rsidRPr="00F60BEC" w14:paraId="6C0B1411"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537AC169"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1</w:t>
            </w:r>
          </w:p>
        </w:tc>
        <w:tc>
          <w:tcPr>
            <w:tcW w:w="3612" w:type="dxa"/>
            <w:tcBorders>
              <w:top w:val="single" w:sz="8" w:space="0" w:color="000000"/>
              <w:left w:val="single" w:sz="8" w:space="0" w:color="000000"/>
              <w:bottom w:val="single" w:sz="8" w:space="0" w:color="000000"/>
              <w:right w:val="single" w:sz="8" w:space="0" w:color="000000"/>
            </w:tcBorders>
            <w:vAlign w:val="center"/>
          </w:tcPr>
          <w:p w14:paraId="275ABC6D"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权益投资</w:t>
            </w:r>
          </w:p>
        </w:tc>
        <w:tc>
          <w:tcPr>
            <w:tcW w:w="2529" w:type="dxa"/>
            <w:tcBorders>
              <w:top w:val="single" w:sz="8" w:space="0" w:color="000000"/>
              <w:left w:val="single" w:sz="8" w:space="0" w:color="000000"/>
              <w:bottom w:val="single" w:sz="8" w:space="0" w:color="000000"/>
              <w:right w:val="single" w:sz="8" w:space="0" w:color="000000"/>
            </w:tcBorders>
          </w:tcPr>
          <w:p w14:paraId="5EFB6EEC" w14:textId="7D630860"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30,793,395.12</w:t>
            </w:r>
          </w:p>
        </w:tc>
        <w:tc>
          <w:tcPr>
            <w:tcW w:w="2167" w:type="dxa"/>
            <w:tcBorders>
              <w:top w:val="single" w:sz="8" w:space="0" w:color="000000"/>
              <w:left w:val="single" w:sz="8" w:space="0" w:color="000000"/>
              <w:bottom w:val="single" w:sz="8" w:space="0" w:color="000000"/>
              <w:right w:val="single" w:sz="8" w:space="0" w:color="000000"/>
            </w:tcBorders>
          </w:tcPr>
          <w:p w14:paraId="6EDB3EF4" w14:textId="096FD1D8"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3.84</w:t>
            </w:r>
          </w:p>
        </w:tc>
      </w:tr>
      <w:tr w:rsidR="00B76D75" w:rsidRPr="00F60BEC" w14:paraId="030836EB"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00DD314" w14:textId="77777777" w:rsidR="00B76D75" w:rsidRPr="00F60BEC" w:rsidRDefault="00B76D75" w:rsidP="00B76D75">
            <w:pPr>
              <w:autoSpaceDE w:val="0"/>
              <w:autoSpaceDN w:val="0"/>
              <w:adjustRightInd w:val="0"/>
              <w:spacing w:line="288" w:lineRule="auto"/>
              <w:jc w:val="center"/>
              <w:rPr>
                <w:rFonts w:asciiTheme="minorEastAsia" w:hAnsiTheme="minorEastAsia"/>
                <w:color w:val="000000"/>
                <w:kern w:val="0"/>
                <w:sz w:val="24"/>
                <w:szCs w:val="24"/>
              </w:rPr>
            </w:pPr>
          </w:p>
        </w:tc>
        <w:tc>
          <w:tcPr>
            <w:tcW w:w="3612" w:type="dxa"/>
            <w:tcBorders>
              <w:top w:val="single" w:sz="8" w:space="0" w:color="000000"/>
              <w:left w:val="single" w:sz="8" w:space="0" w:color="000000"/>
              <w:bottom w:val="single" w:sz="8" w:space="0" w:color="000000"/>
              <w:right w:val="single" w:sz="8" w:space="0" w:color="000000"/>
            </w:tcBorders>
            <w:vAlign w:val="center"/>
          </w:tcPr>
          <w:p w14:paraId="2D676655"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其中：股票</w:t>
            </w:r>
          </w:p>
        </w:tc>
        <w:tc>
          <w:tcPr>
            <w:tcW w:w="2529" w:type="dxa"/>
            <w:tcBorders>
              <w:top w:val="single" w:sz="8" w:space="0" w:color="000000"/>
              <w:left w:val="single" w:sz="8" w:space="0" w:color="000000"/>
              <w:bottom w:val="single" w:sz="8" w:space="0" w:color="000000"/>
              <w:right w:val="single" w:sz="8" w:space="0" w:color="000000"/>
            </w:tcBorders>
          </w:tcPr>
          <w:p w14:paraId="72CD89F8" w14:textId="126A61DA"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30,793,395.12</w:t>
            </w:r>
          </w:p>
        </w:tc>
        <w:tc>
          <w:tcPr>
            <w:tcW w:w="2167" w:type="dxa"/>
            <w:tcBorders>
              <w:top w:val="single" w:sz="8" w:space="0" w:color="000000"/>
              <w:left w:val="single" w:sz="8" w:space="0" w:color="000000"/>
              <w:bottom w:val="single" w:sz="8" w:space="0" w:color="000000"/>
              <w:right w:val="single" w:sz="8" w:space="0" w:color="000000"/>
            </w:tcBorders>
          </w:tcPr>
          <w:p w14:paraId="5232D452" w14:textId="183C9EAE"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3.84</w:t>
            </w:r>
          </w:p>
        </w:tc>
      </w:tr>
      <w:tr w:rsidR="00B76D75" w:rsidRPr="00F60BEC" w14:paraId="695F2E67"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D2F82C6"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2</w:t>
            </w:r>
          </w:p>
        </w:tc>
        <w:tc>
          <w:tcPr>
            <w:tcW w:w="3612" w:type="dxa"/>
            <w:tcBorders>
              <w:top w:val="single" w:sz="8" w:space="0" w:color="000000"/>
              <w:left w:val="single" w:sz="8" w:space="0" w:color="000000"/>
              <w:bottom w:val="single" w:sz="8" w:space="0" w:color="000000"/>
              <w:right w:val="single" w:sz="8" w:space="0" w:color="000000"/>
            </w:tcBorders>
            <w:vAlign w:val="center"/>
          </w:tcPr>
          <w:p w14:paraId="52B8E8FB"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基金投资</w:t>
            </w:r>
          </w:p>
        </w:tc>
        <w:tc>
          <w:tcPr>
            <w:tcW w:w="2529" w:type="dxa"/>
            <w:tcBorders>
              <w:top w:val="single" w:sz="8" w:space="0" w:color="000000"/>
              <w:left w:val="single" w:sz="8" w:space="0" w:color="000000"/>
              <w:bottom w:val="single" w:sz="8" w:space="0" w:color="000000"/>
              <w:right w:val="single" w:sz="8" w:space="0" w:color="000000"/>
            </w:tcBorders>
          </w:tcPr>
          <w:p w14:paraId="1ACECA1D" w14:textId="65F8B56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c>
          <w:tcPr>
            <w:tcW w:w="2167" w:type="dxa"/>
            <w:tcBorders>
              <w:top w:val="single" w:sz="8" w:space="0" w:color="000000"/>
              <w:left w:val="single" w:sz="8" w:space="0" w:color="000000"/>
              <w:bottom w:val="single" w:sz="8" w:space="0" w:color="000000"/>
              <w:right w:val="single" w:sz="8" w:space="0" w:color="000000"/>
            </w:tcBorders>
          </w:tcPr>
          <w:p w14:paraId="0A2C87B7" w14:textId="020630F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r>
      <w:tr w:rsidR="00B76D75" w:rsidRPr="00F60BEC" w14:paraId="37EE6B42"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38404BB"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3</w:t>
            </w:r>
          </w:p>
        </w:tc>
        <w:tc>
          <w:tcPr>
            <w:tcW w:w="3612" w:type="dxa"/>
            <w:tcBorders>
              <w:top w:val="single" w:sz="8" w:space="0" w:color="000000"/>
              <w:left w:val="single" w:sz="8" w:space="0" w:color="000000"/>
              <w:bottom w:val="single" w:sz="8" w:space="0" w:color="000000"/>
              <w:right w:val="single" w:sz="8" w:space="0" w:color="000000"/>
            </w:tcBorders>
            <w:vAlign w:val="center"/>
          </w:tcPr>
          <w:p w14:paraId="7AB62F34"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固定收益投资</w:t>
            </w:r>
          </w:p>
        </w:tc>
        <w:tc>
          <w:tcPr>
            <w:tcW w:w="2529" w:type="dxa"/>
            <w:tcBorders>
              <w:top w:val="single" w:sz="8" w:space="0" w:color="000000"/>
              <w:left w:val="single" w:sz="8" w:space="0" w:color="000000"/>
              <w:bottom w:val="single" w:sz="8" w:space="0" w:color="000000"/>
              <w:right w:val="single" w:sz="8" w:space="0" w:color="000000"/>
            </w:tcBorders>
          </w:tcPr>
          <w:p w14:paraId="3A3DE3B7" w14:textId="4CC9737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604,812,506.40</w:t>
            </w:r>
          </w:p>
        </w:tc>
        <w:tc>
          <w:tcPr>
            <w:tcW w:w="2167" w:type="dxa"/>
            <w:tcBorders>
              <w:top w:val="single" w:sz="8" w:space="0" w:color="000000"/>
              <w:left w:val="single" w:sz="8" w:space="0" w:color="000000"/>
              <w:bottom w:val="single" w:sz="8" w:space="0" w:color="000000"/>
              <w:right w:val="single" w:sz="8" w:space="0" w:color="000000"/>
            </w:tcBorders>
          </w:tcPr>
          <w:p w14:paraId="7355A6D7" w14:textId="3CC3F0C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75.47</w:t>
            </w:r>
          </w:p>
        </w:tc>
      </w:tr>
      <w:tr w:rsidR="00B76D75" w:rsidRPr="00F60BEC" w14:paraId="1D8FA5A8"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5095A535" w14:textId="77777777" w:rsidR="00B76D75" w:rsidRPr="00F60BEC" w:rsidRDefault="00B76D75" w:rsidP="00B76D75">
            <w:pPr>
              <w:autoSpaceDE w:val="0"/>
              <w:autoSpaceDN w:val="0"/>
              <w:adjustRightInd w:val="0"/>
              <w:spacing w:line="288" w:lineRule="auto"/>
              <w:jc w:val="center"/>
              <w:rPr>
                <w:rFonts w:asciiTheme="minorEastAsia" w:hAnsiTheme="minorEastAsia"/>
                <w:color w:val="000000"/>
                <w:kern w:val="0"/>
                <w:sz w:val="24"/>
                <w:szCs w:val="24"/>
              </w:rPr>
            </w:pPr>
          </w:p>
        </w:tc>
        <w:tc>
          <w:tcPr>
            <w:tcW w:w="3612" w:type="dxa"/>
            <w:tcBorders>
              <w:top w:val="single" w:sz="8" w:space="0" w:color="000000"/>
              <w:left w:val="single" w:sz="8" w:space="0" w:color="000000"/>
              <w:bottom w:val="single" w:sz="8" w:space="0" w:color="000000"/>
              <w:right w:val="single" w:sz="8" w:space="0" w:color="000000"/>
            </w:tcBorders>
            <w:vAlign w:val="center"/>
          </w:tcPr>
          <w:p w14:paraId="17EFC11E"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其中：债券</w:t>
            </w:r>
          </w:p>
        </w:tc>
        <w:tc>
          <w:tcPr>
            <w:tcW w:w="2529" w:type="dxa"/>
            <w:tcBorders>
              <w:top w:val="single" w:sz="8" w:space="0" w:color="000000"/>
              <w:left w:val="single" w:sz="8" w:space="0" w:color="000000"/>
              <w:bottom w:val="single" w:sz="8" w:space="0" w:color="000000"/>
              <w:right w:val="single" w:sz="8" w:space="0" w:color="000000"/>
            </w:tcBorders>
          </w:tcPr>
          <w:p w14:paraId="63D04DB9" w14:textId="247F31C4"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604,812,506.40</w:t>
            </w:r>
          </w:p>
        </w:tc>
        <w:tc>
          <w:tcPr>
            <w:tcW w:w="2167" w:type="dxa"/>
            <w:tcBorders>
              <w:top w:val="single" w:sz="8" w:space="0" w:color="000000"/>
              <w:left w:val="single" w:sz="8" w:space="0" w:color="000000"/>
              <w:bottom w:val="single" w:sz="8" w:space="0" w:color="000000"/>
              <w:right w:val="single" w:sz="8" w:space="0" w:color="000000"/>
            </w:tcBorders>
          </w:tcPr>
          <w:p w14:paraId="4942AA64" w14:textId="5A02BB65"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75.47</w:t>
            </w:r>
          </w:p>
        </w:tc>
      </w:tr>
      <w:tr w:rsidR="00B76D75" w:rsidRPr="00F60BEC" w14:paraId="6F2C73F8"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2AD2E404" w14:textId="77777777" w:rsidR="00B76D75" w:rsidRPr="00F60BEC" w:rsidRDefault="00B76D75" w:rsidP="00B76D75">
            <w:pPr>
              <w:autoSpaceDE w:val="0"/>
              <w:autoSpaceDN w:val="0"/>
              <w:adjustRightInd w:val="0"/>
              <w:spacing w:line="288" w:lineRule="auto"/>
              <w:jc w:val="center"/>
              <w:rPr>
                <w:rFonts w:asciiTheme="minorEastAsia" w:hAnsiTheme="minorEastAsia"/>
                <w:color w:val="000000"/>
                <w:kern w:val="0"/>
                <w:sz w:val="24"/>
                <w:szCs w:val="24"/>
              </w:rPr>
            </w:pPr>
          </w:p>
        </w:tc>
        <w:tc>
          <w:tcPr>
            <w:tcW w:w="3612" w:type="dxa"/>
            <w:tcBorders>
              <w:top w:val="single" w:sz="8" w:space="0" w:color="000000"/>
              <w:left w:val="single" w:sz="8" w:space="0" w:color="000000"/>
              <w:bottom w:val="single" w:sz="8" w:space="0" w:color="000000"/>
              <w:right w:val="single" w:sz="8" w:space="0" w:color="000000"/>
            </w:tcBorders>
            <w:vAlign w:val="center"/>
          </w:tcPr>
          <w:p w14:paraId="778239F4"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color w:val="000000"/>
                <w:kern w:val="0"/>
                <w:sz w:val="24"/>
                <w:szCs w:val="24"/>
              </w:rPr>
              <w:t xml:space="preserve">      </w:t>
            </w:r>
            <w:r w:rsidRPr="00F60BEC">
              <w:rPr>
                <w:rFonts w:asciiTheme="minorEastAsia" w:hAnsiTheme="minorEastAsia" w:hint="eastAsia"/>
                <w:color w:val="000000"/>
                <w:kern w:val="0"/>
                <w:sz w:val="24"/>
                <w:szCs w:val="24"/>
              </w:rPr>
              <w:t>资产支持证券</w:t>
            </w:r>
          </w:p>
        </w:tc>
        <w:tc>
          <w:tcPr>
            <w:tcW w:w="2529" w:type="dxa"/>
            <w:tcBorders>
              <w:top w:val="single" w:sz="8" w:space="0" w:color="000000"/>
              <w:left w:val="single" w:sz="8" w:space="0" w:color="000000"/>
              <w:bottom w:val="single" w:sz="8" w:space="0" w:color="000000"/>
              <w:right w:val="single" w:sz="8" w:space="0" w:color="000000"/>
            </w:tcBorders>
          </w:tcPr>
          <w:p w14:paraId="59F630F0" w14:textId="511B4FC0"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c>
          <w:tcPr>
            <w:tcW w:w="2167" w:type="dxa"/>
            <w:tcBorders>
              <w:top w:val="single" w:sz="8" w:space="0" w:color="000000"/>
              <w:left w:val="single" w:sz="8" w:space="0" w:color="000000"/>
              <w:bottom w:val="single" w:sz="8" w:space="0" w:color="000000"/>
              <w:right w:val="single" w:sz="8" w:space="0" w:color="000000"/>
            </w:tcBorders>
          </w:tcPr>
          <w:p w14:paraId="54C04539" w14:textId="6FF0B8E7"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r>
      <w:tr w:rsidR="00B76D75" w:rsidRPr="00F60BEC" w14:paraId="73E86ADB"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769F040"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4</w:t>
            </w:r>
          </w:p>
        </w:tc>
        <w:tc>
          <w:tcPr>
            <w:tcW w:w="3612" w:type="dxa"/>
            <w:tcBorders>
              <w:top w:val="single" w:sz="8" w:space="0" w:color="000000"/>
              <w:left w:val="single" w:sz="8" w:space="0" w:color="000000"/>
              <w:bottom w:val="single" w:sz="8" w:space="0" w:color="000000"/>
              <w:right w:val="single" w:sz="8" w:space="0" w:color="000000"/>
            </w:tcBorders>
            <w:vAlign w:val="center"/>
          </w:tcPr>
          <w:p w14:paraId="5632842A"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贵金属投资</w:t>
            </w:r>
          </w:p>
        </w:tc>
        <w:tc>
          <w:tcPr>
            <w:tcW w:w="2529" w:type="dxa"/>
            <w:tcBorders>
              <w:top w:val="single" w:sz="8" w:space="0" w:color="000000"/>
              <w:left w:val="single" w:sz="8" w:space="0" w:color="000000"/>
              <w:bottom w:val="single" w:sz="8" w:space="0" w:color="000000"/>
              <w:right w:val="single" w:sz="8" w:space="0" w:color="000000"/>
            </w:tcBorders>
          </w:tcPr>
          <w:p w14:paraId="6B0532F2" w14:textId="708D964D"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c>
          <w:tcPr>
            <w:tcW w:w="2167" w:type="dxa"/>
            <w:tcBorders>
              <w:top w:val="single" w:sz="8" w:space="0" w:color="000000"/>
              <w:left w:val="single" w:sz="8" w:space="0" w:color="000000"/>
              <w:bottom w:val="single" w:sz="8" w:space="0" w:color="000000"/>
              <w:right w:val="single" w:sz="8" w:space="0" w:color="000000"/>
            </w:tcBorders>
          </w:tcPr>
          <w:p w14:paraId="41805923" w14:textId="640A159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r>
      <w:tr w:rsidR="00B76D75" w:rsidRPr="00F60BEC" w14:paraId="38BEA0FB"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65836EA"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5</w:t>
            </w:r>
          </w:p>
        </w:tc>
        <w:tc>
          <w:tcPr>
            <w:tcW w:w="3612" w:type="dxa"/>
            <w:tcBorders>
              <w:top w:val="single" w:sz="8" w:space="0" w:color="000000"/>
              <w:left w:val="single" w:sz="8" w:space="0" w:color="000000"/>
              <w:bottom w:val="single" w:sz="8" w:space="0" w:color="000000"/>
              <w:right w:val="single" w:sz="8" w:space="0" w:color="000000"/>
            </w:tcBorders>
            <w:vAlign w:val="center"/>
          </w:tcPr>
          <w:p w14:paraId="713F8373"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金融衍生品投资</w:t>
            </w:r>
          </w:p>
        </w:tc>
        <w:tc>
          <w:tcPr>
            <w:tcW w:w="2529" w:type="dxa"/>
            <w:tcBorders>
              <w:top w:val="single" w:sz="8" w:space="0" w:color="000000"/>
              <w:left w:val="single" w:sz="8" w:space="0" w:color="000000"/>
              <w:bottom w:val="single" w:sz="8" w:space="0" w:color="000000"/>
              <w:right w:val="single" w:sz="8" w:space="0" w:color="000000"/>
            </w:tcBorders>
          </w:tcPr>
          <w:p w14:paraId="2CA2C7D1" w14:textId="7DA2182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c>
          <w:tcPr>
            <w:tcW w:w="2167" w:type="dxa"/>
            <w:tcBorders>
              <w:top w:val="single" w:sz="8" w:space="0" w:color="000000"/>
              <w:left w:val="single" w:sz="8" w:space="0" w:color="000000"/>
              <w:bottom w:val="single" w:sz="8" w:space="0" w:color="000000"/>
              <w:right w:val="single" w:sz="8" w:space="0" w:color="000000"/>
            </w:tcBorders>
          </w:tcPr>
          <w:p w14:paraId="7BD86C46" w14:textId="0E77B8F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r>
      <w:tr w:rsidR="00B76D75" w:rsidRPr="00F60BEC" w14:paraId="46327A80"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432983A"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6</w:t>
            </w:r>
          </w:p>
        </w:tc>
        <w:tc>
          <w:tcPr>
            <w:tcW w:w="3612" w:type="dxa"/>
            <w:tcBorders>
              <w:top w:val="single" w:sz="8" w:space="0" w:color="000000"/>
              <w:left w:val="single" w:sz="8" w:space="0" w:color="000000"/>
              <w:bottom w:val="single" w:sz="8" w:space="0" w:color="000000"/>
              <w:right w:val="single" w:sz="8" w:space="0" w:color="000000"/>
            </w:tcBorders>
            <w:vAlign w:val="center"/>
          </w:tcPr>
          <w:p w14:paraId="240690C9"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买入返售金融资产</w:t>
            </w:r>
          </w:p>
        </w:tc>
        <w:tc>
          <w:tcPr>
            <w:tcW w:w="2529" w:type="dxa"/>
            <w:tcBorders>
              <w:top w:val="single" w:sz="8" w:space="0" w:color="000000"/>
              <w:left w:val="single" w:sz="8" w:space="0" w:color="000000"/>
              <w:bottom w:val="single" w:sz="8" w:space="0" w:color="000000"/>
              <w:right w:val="single" w:sz="8" w:space="0" w:color="000000"/>
            </w:tcBorders>
          </w:tcPr>
          <w:p w14:paraId="2AED2CD6" w14:textId="503D3B38"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150,000,465.00</w:t>
            </w:r>
          </w:p>
        </w:tc>
        <w:tc>
          <w:tcPr>
            <w:tcW w:w="2167" w:type="dxa"/>
            <w:tcBorders>
              <w:top w:val="single" w:sz="8" w:space="0" w:color="000000"/>
              <w:left w:val="single" w:sz="8" w:space="0" w:color="000000"/>
              <w:bottom w:val="single" w:sz="8" w:space="0" w:color="000000"/>
              <w:right w:val="single" w:sz="8" w:space="0" w:color="000000"/>
            </w:tcBorders>
          </w:tcPr>
          <w:p w14:paraId="67DDE1F6" w14:textId="5533F821"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18.72</w:t>
            </w:r>
          </w:p>
        </w:tc>
      </w:tr>
      <w:tr w:rsidR="00B76D75" w:rsidRPr="00F60BEC" w14:paraId="19FC6A4A"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9925C11" w14:textId="77777777" w:rsidR="00B76D75" w:rsidRPr="00F60BEC" w:rsidRDefault="00B76D75" w:rsidP="00B76D75">
            <w:pPr>
              <w:autoSpaceDE w:val="0"/>
              <w:autoSpaceDN w:val="0"/>
              <w:adjustRightInd w:val="0"/>
              <w:spacing w:line="288" w:lineRule="auto"/>
              <w:jc w:val="center"/>
              <w:rPr>
                <w:rFonts w:asciiTheme="minorEastAsia" w:hAnsiTheme="minorEastAsia"/>
                <w:color w:val="000000"/>
                <w:kern w:val="0"/>
                <w:sz w:val="24"/>
                <w:szCs w:val="24"/>
              </w:rPr>
            </w:pPr>
          </w:p>
        </w:tc>
        <w:tc>
          <w:tcPr>
            <w:tcW w:w="3612" w:type="dxa"/>
            <w:tcBorders>
              <w:top w:val="single" w:sz="8" w:space="0" w:color="000000"/>
              <w:left w:val="single" w:sz="8" w:space="0" w:color="000000"/>
              <w:bottom w:val="single" w:sz="8" w:space="0" w:color="000000"/>
              <w:right w:val="single" w:sz="8" w:space="0" w:color="000000"/>
            </w:tcBorders>
            <w:vAlign w:val="center"/>
          </w:tcPr>
          <w:p w14:paraId="1EE2AA4E"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其中：买断式回购的买入返售金融资产</w:t>
            </w:r>
          </w:p>
        </w:tc>
        <w:tc>
          <w:tcPr>
            <w:tcW w:w="2529" w:type="dxa"/>
            <w:tcBorders>
              <w:top w:val="single" w:sz="8" w:space="0" w:color="000000"/>
              <w:left w:val="single" w:sz="8" w:space="0" w:color="000000"/>
              <w:bottom w:val="single" w:sz="8" w:space="0" w:color="000000"/>
              <w:right w:val="single" w:sz="8" w:space="0" w:color="000000"/>
            </w:tcBorders>
          </w:tcPr>
          <w:p w14:paraId="78AC39AA" w14:textId="62E713F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c>
          <w:tcPr>
            <w:tcW w:w="2167" w:type="dxa"/>
            <w:tcBorders>
              <w:top w:val="single" w:sz="8" w:space="0" w:color="000000"/>
              <w:left w:val="single" w:sz="8" w:space="0" w:color="000000"/>
              <w:bottom w:val="single" w:sz="8" w:space="0" w:color="000000"/>
              <w:right w:val="single" w:sz="8" w:space="0" w:color="000000"/>
            </w:tcBorders>
          </w:tcPr>
          <w:p w14:paraId="022D2BF8" w14:textId="3D07A717"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w:t>
            </w:r>
          </w:p>
        </w:tc>
      </w:tr>
      <w:tr w:rsidR="00B76D75" w:rsidRPr="00F60BEC" w14:paraId="07DEE966"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3865E46"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7</w:t>
            </w:r>
          </w:p>
        </w:tc>
        <w:tc>
          <w:tcPr>
            <w:tcW w:w="3612" w:type="dxa"/>
            <w:tcBorders>
              <w:top w:val="single" w:sz="8" w:space="0" w:color="000000"/>
              <w:left w:val="single" w:sz="8" w:space="0" w:color="000000"/>
              <w:bottom w:val="single" w:sz="8" w:space="0" w:color="000000"/>
              <w:right w:val="single" w:sz="8" w:space="0" w:color="000000"/>
            </w:tcBorders>
            <w:vAlign w:val="center"/>
          </w:tcPr>
          <w:p w14:paraId="54DB4F30"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银行存款和结算备付金合计</w:t>
            </w:r>
          </w:p>
        </w:tc>
        <w:tc>
          <w:tcPr>
            <w:tcW w:w="2529" w:type="dxa"/>
            <w:tcBorders>
              <w:top w:val="single" w:sz="8" w:space="0" w:color="000000"/>
              <w:left w:val="single" w:sz="8" w:space="0" w:color="000000"/>
              <w:bottom w:val="single" w:sz="8" w:space="0" w:color="000000"/>
              <w:right w:val="single" w:sz="8" w:space="0" w:color="000000"/>
            </w:tcBorders>
          </w:tcPr>
          <w:p w14:paraId="7C79C145" w14:textId="07AE92A8"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5,119,194.02</w:t>
            </w:r>
          </w:p>
        </w:tc>
        <w:tc>
          <w:tcPr>
            <w:tcW w:w="2167" w:type="dxa"/>
            <w:tcBorders>
              <w:top w:val="single" w:sz="8" w:space="0" w:color="000000"/>
              <w:left w:val="single" w:sz="8" w:space="0" w:color="000000"/>
              <w:bottom w:val="single" w:sz="8" w:space="0" w:color="000000"/>
              <w:right w:val="single" w:sz="8" w:space="0" w:color="000000"/>
            </w:tcBorders>
          </w:tcPr>
          <w:p w14:paraId="65F8764A" w14:textId="6E6AB57E"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0.64</w:t>
            </w:r>
          </w:p>
        </w:tc>
      </w:tr>
      <w:tr w:rsidR="00B76D75" w:rsidRPr="00F60BEC" w14:paraId="6F643CF7"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DACB2D8"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8</w:t>
            </w:r>
          </w:p>
        </w:tc>
        <w:tc>
          <w:tcPr>
            <w:tcW w:w="3612" w:type="dxa"/>
            <w:tcBorders>
              <w:top w:val="single" w:sz="8" w:space="0" w:color="000000"/>
              <w:left w:val="single" w:sz="8" w:space="0" w:color="000000"/>
              <w:bottom w:val="single" w:sz="8" w:space="0" w:color="000000"/>
              <w:right w:val="single" w:sz="8" w:space="0" w:color="000000"/>
            </w:tcBorders>
            <w:vAlign w:val="center"/>
          </w:tcPr>
          <w:p w14:paraId="3555B234"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其他资产</w:t>
            </w:r>
          </w:p>
        </w:tc>
        <w:tc>
          <w:tcPr>
            <w:tcW w:w="2529" w:type="dxa"/>
            <w:tcBorders>
              <w:top w:val="single" w:sz="8" w:space="0" w:color="000000"/>
              <w:left w:val="single" w:sz="8" w:space="0" w:color="000000"/>
              <w:bottom w:val="single" w:sz="8" w:space="0" w:color="000000"/>
              <w:right w:val="single" w:sz="8" w:space="0" w:color="000000"/>
            </w:tcBorders>
          </w:tcPr>
          <w:p w14:paraId="33A25566" w14:textId="328565F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10,646,306.62</w:t>
            </w:r>
          </w:p>
        </w:tc>
        <w:tc>
          <w:tcPr>
            <w:tcW w:w="2167" w:type="dxa"/>
            <w:tcBorders>
              <w:top w:val="single" w:sz="8" w:space="0" w:color="000000"/>
              <w:left w:val="single" w:sz="8" w:space="0" w:color="000000"/>
              <w:bottom w:val="single" w:sz="8" w:space="0" w:color="000000"/>
              <w:right w:val="single" w:sz="8" w:space="0" w:color="000000"/>
            </w:tcBorders>
          </w:tcPr>
          <w:p w14:paraId="75B30218" w14:textId="4B8206E9"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1.33</w:t>
            </w:r>
          </w:p>
        </w:tc>
      </w:tr>
      <w:tr w:rsidR="00B76D75" w:rsidRPr="00F60BEC" w14:paraId="1453DEBC"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7383BF72"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9</w:t>
            </w:r>
          </w:p>
        </w:tc>
        <w:tc>
          <w:tcPr>
            <w:tcW w:w="3612" w:type="dxa"/>
            <w:tcBorders>
              <w:top w:val="single" w:sz="8" w:space="0" w:color="000000"/>
              <w:left w:val="single" w:sz="8" w:space="0" w:color="000000"/>
              <w:bottom w:val="single" w:sz="8" w:space="0" w:color="000000"/>
              <w:right w:val="single" w:sz="8" w:space="0" w:color="000000"/>
            </w:tcBorders>
            <w:vAlign w:val="center"/>
          </w:tcPr>
          <w:p w14:paraId="20547206"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合计</w:t>
            </w:r>
          </w:p>
        </w:tc>
        <w:tc>
          <w:tcPr>
            <w:tcW w:w="2529" w:type="dxa"/>
            <w:tcBorders>
              <w:top w:val="single" w:sz="8" w:space="0" w:color="000000"/>
              <w:left w:val="single" w:sz="8" w:space="0" w:color="000000"/>
              <w:bottom w:val="single" w:sz="8" w:space="0" w:color="000000"/>
              <w:right w:val="single" w:sz="8" w:space="0" w:color="000000"/>
            </w:tcBorders>
          </w:tcPr>
          <w:p w14:paraId="62A72286" w14:textId="526FC3B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 xml:space="preserve">801,371,867.16   </w:t>
            </w:r>
          </w:p>
        </w:tc>
        <w:tc>
          <w:tcPr>
            <w:tcW w:w="2167" w:type="dxa"/>
            <w:tcBorders>
              <w:top w:val="single" w:sz="8" w:space="0" w:color="000000"/>
              <w:left w:val="single" w:sz="8" w:space="0" w:color="000000"/>
              <w:bottom w:val="single" w:sz="8" w:space="0" w:color="000000"/>
              <w:right w:val="single" w:sz="8" w:space="0" w:color="000000"/>
            </w:tcBorders>
          </w:tcPr>
          <w:p w14:paraId="40E4606C" w14:textId="428FCA37"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17C01">
              <w:t>100.00</w:t>
            </w:r>
          </w:p>
        </w:tc>
      </w:tr>
    </w:tbl>
    <w:p w14:paraId="7094A16B" w14:textId="77777777" w:rsidR="00C00DE9" w:rsidRPr="00C6511B" w:rsidRDefault="00C00DE9" w:rsidP="00C00DE9">
      <w:pPr>
        <w:spacing w:before="50" w:line="360" w:lineRule="auto"/>
        <w:ind w:firstLine="480"/>
        <w:rPr>
          <w:rFonts w:ascii="宋体" w:hAnsi="宋体"/>
          <w:bCs/>
          <w:color w:val="000000"/>
          <w:sz w:val="24"/>
          <w:szCs w:val="24"/>
        </w:rPr>
      </w:pPr>
      <w:r w:rsidRPr="00C6511B">
        <w:rPr>
          <w:rFonts w:ascii="宋体" w:hAnsi="宋体"/>
          <w:bCs/>
          <w:color w:val="000000"/>
          <w:sz w:val="24"/>
          <w:szCs w:val="24"/>
        </w:rPr>
        <w:t>2、报告期末按行业分类的股票投资组合</w:t>
      </w:r>
    </w:p>
    <w:p w14:paraId="11017EE2" w14:textId="77777777" w:rsidR="00C00DE9" w:rsidRPr="001456FE" w:rsidRDefault="00C00DE9" w:rsidP="00C00DE9">
      <w:pPr>
        <w:spacing w:line="360" w:lineRule="auto"/>
        <w:jc w:val="right"/>
        <w:rPr>
          <w:bCs/>
          <w:sz w:val="24"/>
          <w:szCs w:val="24"/>
        </w:rPr>
      </w:pPr>
      <w:r w:rsidRPr="00C6511B">
        <w:rPr>
          <w:rFonts w:hint="eastAsia"/>
          <w:color w:val="000000"/>
          <w:sz w:val="24"/>
          <w:szCs w:val="24"/>
        </w:rPr>
        <w:t>金额单位：人民币元</w:t>
      </w:r>
    </w:p>
    <w:tbl>
      <w:tblPr>
        <w:tblW w:w="9030" w:type="dxa"/>
        <w:tblInd w:w="108" w:type="dxa"/>
        <w:tblLayout w:type="fixed"/>
        <w:tblLook w:val="0000" w:firstRow="0" w:lastRow="0" w:firstColumn="0" w:lastColumn="0" w:noHBand="0" w:noVBand="0"/>
      </w:tblPr>
      <w:tblGrid>
        <w:gridCol w:w="722"/>
        <w:gridCol w:w="3612"/>
        <w:gridCol w:w="2529"/>
        <w:gridCol w:w="2167"/>
      </w:tblGrid>
      <w:tr w:rsidR="00C00DE9" w:rsidRPr="00F60BEC" w14:paraId="1024953D"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16D6512"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代码</w:t>
            </w:r>
          </w:p>
        </w:tc>
        <w:tc>
          <w:tcPr>
            <w:tcW w:w="3612" w:type="dxa"/>
            <w:tcBorders>
              <w:top w:val="single" w:sz="8" w:space="0" w:color="000000"/>
              <w:left w:val="single" w:sz="8" w:space="0" w:color="000000"/>
              <w:bottom w:val="single" w:sz="8" w:space="0" w:color="000000"/>
              <w:right w:val="single" w:sz="8" w:space="0" w:color="000000"/>
            </w:tcBorders>
            <w:vAlign w:val="center"/>
          </w:tcPr>
          <w:p w14:paraId="5CCB0328"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行业类别</w:t>
            </w:r>
          </w:p>
        </w:tc>
        <w:tc>
          <w:tcPr>
            <w:tcW w:w="2529" w:type="dxa"/>
            <w:tcBorders>
              <w:top w:val="single" w:sz="8" w:space="0" w:color="000000"/>
              <w:left w:val="single" w:sz="8" w:space="0" w:color="000000"/>
              <w:bottom w:val="single" w:sz="8" w:space="0" w:color="000000"/>
              <w:right w:val="single" w:sz="8" w:space="0" w:color="000000"/>
            </w:tcBorders>
            <w:vAlign w:val="center"/>
          </w:tcPr>
          <w:p w14:paraId="73450865"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公允价值</w:t>
            </w:r>
          </w:p>
        </w:tc>
        <w:tc>
          <w:tcPr>
            <w:tcW w:w="2167" w:type="dxa"/>
            <w:tcBorders>
              <w:top w:val="single" w:sz="8" w:space="0" w:color="000000"/>
              <w:left w:val="single" w:sz="8" w:space="0" w:color="000000"/>
              <w:bottom w:val="single" w:sz="8" w:space="0" w:color="000000"/>
              <w:right w:val="single" w:sz="8" w:space="0" w:color="000000"/>
            </w:tcBorders>
            <w:vAlign w:val="center"/>
          </w:tcPr>
          <w:p w14:paraId="3A600174"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占基金资产净值比例（％）</w:t>
            </w:r>
          </w:p>
        </w:tc>
      </w:tr>
      <w:tr w:rsidR="00B76D75" w:rsidRPr="00F60BEC" w14:paraId="4136D821"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67DED52"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A</w:t>
            </w:r>
          </w:p>
        </w:tc>
        <w:tc>
          <w:tcPr>
            <w:tcW w:w="3612" w:type="dxa"/>
            <w:tcBorders>
              <w:top w:val="single" w:sz="8" w:space="0" w:color="000000"/>
              <w:left w:val="single" w:sz="8" w:space="0" w:color="000000"/>
              <w:bottom w:val="single" w:sz="8" w:space="0" w:color="000000"/>
              <w:right w:val="single" w:sz="8" w:space="0" w:color="000000"/>
            </w:tcBorders>
            <w:vAlign w:val="center"/>
          </w:tcPr>
          <w:p w14:paraId="08064A6B"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农、林、牧、渔业</w:t>
            </w:r>
          </w:p>
        </w:tc>
        <w:tc>
          <w:tcPr>
            <w:tcW w:w="2529" w:type="dxa"/>
            <w:tcBorders>
              <w:top w:val="single" w:sz="8" w:space="0" w:color="000000"/>
              <w:left w:val="single" w:sz="8" w:space="0" w:color="000000"/>
              <w:bottom w:val="single" w:sz="8" w:space="0" w:color="000000"/>
              <w:right w:val="single" w:sz="8" w:space="0" w:color="000000"/>
            </w:tcBorders>
          </w:tcPr>
          <w:p w14:paraId="7461A65C" w14:textId="6162253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6138202A" w14:textId="18E4DA5F"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098C7526"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700E40E7"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B</w:t>
            </w:r>
          </w:p>
        </w:tc>
        <w:tc>
          <w:tcPr>
            <w:tcW w:w="3612" w:type="dxa"/>
            <w:tcBorders>
              <w:top w:val="single" w:sz="8" w:space="0" w:color="000000"/>
              <w:left w:val="single" w:sz="8" w:space="0" w:color="000000"/>
              <w:bottom w:val="single" w:sz="8" w:space="0" w:color="000000"/>
              <w:right w:val="single" w:sz="8" w:space="0" w:color="000000"/>
            </w:tcBorders>
            <w:vAlign w:val="center"/>
          </w:tcPr>
          <w:p w14:paraId="6DDCD2BB"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采矿业</w:t>
            </w:r>
          </w:p>
        </w:tc>
        <w:tc>
          <w:tcPr>
            <w:tcW w:w="2529" w:type="dxa"/>
            <w:tcBorders>
              <w:top w:val="single" w:sz="8" w:space="0" w:color="000000"/>
              <w:left w:val="single" w:sz="8" w:space="0" w:color="000000"/>
              <w:bottom w:val="single" w:sz="8" w:space="0" w:color="000000"/>
              <w:right w:val="single" w:sz="8" w:space="0" w:color="000000"/>
            </w:tcBorders>
          </w:tcPr>
          <w:p w14:paraId="4B8D30AA" w14:textId="19EB9A8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0290D6C8" w14:textId="07CBDA81"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13264023"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C76F903"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C</w:t>
            </w:r>
          </w:p>
        </w:tc>
        <w:tc>
          <w:tcPr>
            <w:tcW w:w="3612" w:type="dxa"/>
            <w:tcBorders>
              <w:top w:val="single" w:sz="8" w:space="0" w:color="000000"/>
              <w:left w:val="single" w:sz="8" w:space="0" w:color="000000"/>
              <w:bottom w:val="single" w:sz="8" w:space="0" w:color="000000"/>
              <w:right w:val="single" w:sz="8" w:space="0" w:color="000000"/>
            </w:tcBorders>
            <w:vAlign w:val="center"/>
          </w:tcPr>
          <w:p w14:paraId="2B3BE07E"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制造业</w:t>
            </w:r>
          </w:p>
        </w:tc>
        <w:tc>
          <w:tcPr>
            <w:tcW w:w="2529" w:type="dxa"/>
            <w:tcBorders>
              <w:top w:val="single" w:sz="8" w:space="0" w:color="000000"/>
              <w:left w:val="single" w:sz="8" w:space="0" w:color="000000"/>
              <w:bottom w:val="single" w:sz="8" w:space="0" w:color="000000"/>
              <w:right w:val="single" w:sz="8" w:space="0" w:color="000000"/>
            </w:tcBorders>
          </w:tcPr>
          <w:p w14:paraId="3320086F" w14:textId="7BFE2C7F"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264,576.01</w:t>
            </w:r>
          </w:p>
        </w:tc>
        <w:tc>
          <w:tcPr>
            <w:tcW w:w="2167" w:type="dxa"/>
            <w:tcBorders>
              <w:top w:val="single" w:sz="8" w:space="0" w:color="000000"/>
              <w:left w:val="single" w:sz="8" w:space="0" w:color="000000"/>
              <w:bottom w:val="single" w:sz="8" w:space="0" w:color="000000"/>
              <w:right w:val="single" w:sz="8" w:space="0" w:color="000000"/>
            </w:tcBorders>
          </w:tcPr>
          <w:p w14:paraId="6EF048D0" w14:textId="0DF33898"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0.03</w:t>
            </w:r>
          </w:p>
        </w:tc>
      </w:tr>
      <w:tr w:rsidR="00B76D75" w:rsidRPr="00F60BEC" w14:paraId="5E8BCF7D"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D7739D5"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D</w:t>
            </w:r>
          </w:p>
        </w:tc>
        <w:tc>
          <w:tcPr>
            <w:tcW w:w="3612" w:type="dxa"/>
            <w:tcBorders>
              <w:top w:val="single" w:sz="8" w:space="0" w:color="000000"/>
              <w:left w:val="single" w:sz="8" w:space="0" w:color="000000"/>
              <w:bottom w:val="single" w:sz="8" w:space="0" w:color="000000"/>
              <w:right w:val="single" w:sz="8" w:space="0" w:color="000000"/>
            </w:tcBorders>
            <w:vAlign w:val="center"/>
          </w:tcPr>
          <w:p w14:paraId="21F28649"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电力、热力、燃气及水生产和</w:t>
            </w:r>
          </w:p>
        </w:tc>
        <w:tc>
          <w:tcPr>
            <w:tcW w:w="2529" w:type="dxa"/>
            <w:tcBorders>
              <w:top w:val="single" w:sz="8" w:space="0" w:color="000000"/>
              <w:left w:val="single" w:sz="8" w:space="0" w:color="000000"/>
              <w:bottom w:val="single" w:sz="8" w:space="0" w:color="000000"/>
              <w:right w:val="single" w:sz="8" w:space="0" w:color="000000"/>
            </w:tcBorders>
          </w:tcPr>
          <w:p w14:paraId="70165331" w14:textId="08F9D6E1"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2382733E" w14:textId="0AC6B474"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0759ECE9"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4A3D091"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E</w:t>
            </w:r>
          </w:p>
        </w:tc>
        <w:tc>
          <w:tcPr>
            <w:tcW w:w="3612" w:type="dxa"/>
            <w:tcBorders>
              <w:top w:val="single" w:sz="8" w:space="0" w:color="000000"/>
              <w:left w:val="single" w:sz="8" w:space="0" w:color="000000"/>
              <w:bottom w:val="single" w:sz="8" w:space="0" w:color="000000"/>
              <w:right w:val="single" w:sz="8" w:space="0" w:color="000000"/>
            </w:tcBorders>
            <w:vAlign w:val="center"/>
          </w:tcPr>
          <w:p w14:paraId="0B852292"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建筑业</w:t>
            </w:r>
          </w:p>
        </w:tc>
        <w:tc>
          <w:tcPr>
            <w:tcW w:w="2529" w:type="dxa"/>
            <w:tcBorders>
              <w:top w:val="single" w:sz="8" w:space="0" w:color="000000"/>
              <w:left w:val="single" w:sz="8" w:space="0" w:color="000000"/>
              <w:bottom w:val="single" w:sz="8" w:space="0" w:color="000000"/>
              <w:right w:val="single" w:sz="8" w:space="0" w:color="000000"/>
            </w:tcBorders>
          </w:tcPr>
          <w:p w14:paraId="0D8BF0FE" w14:textId="627BE408"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24,510.48</w:t>
            </w:r>
          </w:p>
        </w:tc>
        <w:tc>
          <w:tcPr>
            <w:tcW w:w="2167" w:type="dxa"/>
            <w:tcBorders>
              <w:top w:val="single" w:sz="8" w:space="0" w:color="000000"/>
              <w:left w:val="single" w:sz="8" w:space="0" w:color="000000"/>
              <w:bottom w:val="single" w:sz="8" w:space="0" w:color="000000"/>
              <w:right w:val="single" w:sz="8" w:space="0" w:color="000000"/>
            </w:tcBorders>
          </w:tcPr>
          <w:p w14:paraId="4CA8EB5B" w14:textId="6F7CE4D4"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0.00</w:t>
            </w:r>
          </w:p>
        </w:tc>
      </w:tr>
      <w:tr w:rsidR="00B76D75" w:rsidRPr="00F60BEC" w14:paraId="380AC4B2"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FE25ADF"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lastRenderedPageBreak/>
              <w:t>F</w:t>
            </w:r>
          </w:p>
        </w:tc>
        <w:tc>
          <w:tcPr>
            <w:tcW w:w="3612" w:type="dxa"/>
            <w:tcBorders>
              <w:top w:val="single" w:sz="8" w:space="0" w:color="000000"/>
              <w:left w:val="single" w:sz="8" w:space="0" w:color="000000"/>
              <w:bottom w:val="single" w:sz="8" w:space="0" w:color="000000"/>
              <w:right w:val="single" w:sz="8" w:space="0" w:color="000000"/>
            </w:tcBorders>
            <w:vAlign w:val="center"/>
          </w:tcPr>
          <w:p w14:paraId="49C4E7A4"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批发和零售业</w:t>
            </w:r>
          </w:p>
        </w:tc>
        <w:tc>
          <w:tcPr>
            <w:tcW w:w="2529" w:type="dxa"/>
            <w:tcBorders>
              <w:top w:val="single" w:sz="8" w:space="0" w:color="000000"/>
              <w:left w:val="single" w:sz="8" w:space="0" w:color="000000"/>
              <w:bottom w:val="single" w:sz="8" w:space="0" w:color="000000"/>
              <w:right w:val="single" w:sz="8" w:space="0" w:color="000000"/>
            </w:tcBorders>
          </w:tcPr>
          <w:p w14:paraId="21F7551F" w14:textId="74A9FCC0"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47,345.19</w:t>
            </w:r>
          </w:p>
        </w:tc>
        <w:tc>
          <w:tcPr>
            <w:tcW w:w="2167" w:type="dxa"/>
            <w:tcBorders>
              <w:top w:val="single" w:sz="8" w:space="0" w:color="000000"/>
              <w:left w:val="single" w:sz="8" w:space="0" w:color="000000"/>
              <w:bottom w:val="single" w:sz="8" w:space="0" w:color="000000"/>
              <w:right w:val="single" w:sz="8" w:space="0" w:color="000000"/>
            </w:tcBorders>
          </w:tcPr>
          <w:p w14:paraId="2889583C" w14:textId="45C915DF"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0.01</w:t>
            </w:r>
          </w:p>
        </w:tc>
      </w:tr>
      <w:tr w:rsidR="00B76D75" w:rsidRPr="00F60BEC" w14:paraId="6951BA90"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028C4C6"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G</w:t>
            </w:r>
          </w:p>
        </w:tc>
        <w:tc>
          <w:tcPr>
            <w:tcW w:w="3612" w:type="dxa"/>
            <w:tcBorders>
              <w:top w:val="single" w:sz="8" w:space="0" w:color="000000"/>
              <w:left w:val="single" w:sz="8" w:space="0" w:color="000000"/>
              <w:bottom w:val="single" w:sz="8" w:space="0" w:color="000000"/>
              <w:right w:val="single" w:sz="8" w:space="0" w:color="000000"/>
            </w:tcBorders>
            <w:vAlign w:val="center"/>
          </w:tcPr>
          <w:p w14:paraId="071186D2"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交通运输、仓储和邮政业</w:t>
            </w:r>
          </w:p>
        </w:tc>
        <w:tc>
          <w:tcPr>
            <w:tcW w:w="2529" w:type="dxa"/>
            <w:tcBorders>
              <w:top w:val="single" w:sz="8" w:space="0" w:color="000000"/>
              <w:left w:val="single" w:sz="8" w:space="0" w:color="000000"/>
              <w:bottom w:val="single" w:sz="8" w:space="0" w:color="000000"/>
              <w:right w:val="single" w:sz="8" w:space="0" w:color="000000"/>
            </w:tcBorders>
          </w:tcPr>
          <w:p w14:paraId="466DE42E" w14:textId="44EF3CED"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00D793E7" w14:textId="2C37136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758BC3B5"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7F6F289C"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H</w:t>
            </w:r>
          </w:p>
        </w:tc>
        <w:tc>
          <w:tcPr>
            <w:tcW w:w="3612" w:type="dxa"/>
            <w:tcBorders>
              <w:top w:val="single" w:sz="8" w:space="0" w:color="000000"/>
              <w:left w:val="single" w:sz="8" w:space="0" w:color="000000"/>
              <w:bottom w:val="single" w:sz="8" w:space="0" w:color="000000"/>
              <w:right w:val="single" w:sz="8" w:space="0" w:color="000000"/>
            </w:tcBorders>
            <w:vAlign w:val="center"/>
          </w:tcPr>
          <w:p w14:paraId="6675EF77"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住宿和餐饮业</w:t>
            </w:r>
          </w:p>
        </w:tc>
        <w:tc>
          <w:tcPr>
            <w:tcW w:w="2529" w:type="dxa"/>
            <w:tcBorders>
              <w:top w:val="single" w:sz="8" w:space="0" w:color="000000"/>
              <w:left w:val="single" w:sz="8" w:space="0" w:color="000000"/>
              <w:bottom w:val="single" w:sz="8" w:space="0" w:color="000000"/>
              <w:right w:val="single" w:sz="8" w:space="0" w:color="000000"/>
            </w:tcBorders>
          </w:tcPr>
          <w:p w14:paraId="55709FBD" w14:textId="4EF51491"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5CAD0AFF" w14:textId="762ECB3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1B8DE46F"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DDFE640"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I</w:t>
            </w:r>
          </w:p>
        </w:tc>
        <w:tc>
          <w:tcPr>
            <w:tcW w:w="3612" w:type="dxa"/>
            <w:tcBorders>
              <w:top w:val="single" w:sz="8" w:space="0" w:color="000000"/>
              <w:left w:val="single" w:sz="8" w:space="0" w:color="000000"/>
              <w:bottom w:val="single" w:sz="8" w:space="0" w:color="000000"/>
              <w:right w:val="single" w:sz="8" w:space="0" w:color="000000"/>
            </w:tcBorders>
            <w:vAlign w:val="center"/>
          </w:tcPr>
          <w:p w14:paraId="6190E384"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信息传输、软件和信息技术服</w:t>
            </w:r>
          </w:p>
        </w:tc>
        <w:tc>
          <w:tcPr>
            <w:tcW w:w="2529" w:type="dxa"/>
            <w:tcBorders>
              <w:top w:val="single" w:sz="8" w:space="0" w:color="000000"/>
              <w:left w:val="single" w:sz="8" w:space="0" w:color="000000"/>
              <w:bottom w:val="single" w:sz="8" w:space="0" w:color="000000"/>
              <w:right w:val="single" w:sz="8" w:space="0" w:color="000000"/>
            </w:tcBorders>
          </w:tcPr>
          <w:p w14:paraId="0E75169F" w14:textId="5F57A28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3CF1992B" w14:textId="6C8AAA12"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13EB444B"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2D8139B0"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J</w:t>
            </w:r>
          </w:p>
        </w:tc>
        <w:tc>
          <w:tcPr>
            <w:tcW w:w="3612" w:type="dxa"/>
            <w:tcBorders>
              <w:top w:val="single" w:sz="8" w:space="0" w:color="000000"/>
              <w:left w:val="single" w:sz="8" w:space="0" w:color="000000"/>
              <w:bottom w:val="single" w:sz="8" w:space="0" w:color="000000"/>
              <w:right w:val="single" w:sz="8" w:space="0" w:color="000000"/>
            </w:tcBorders>
            <w:vAlign w:val="center"/>
          </w:tcPr>
          <w:p w14:paraId="518ED3BA"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金融业</w:t>
            </w:r>
          </w:p>
        </w:tc>
        <w:tc>
          <w:tcPr>
            <w:tcW w:w="2529" w:type="dxa"/>
            <w:tcBorders>
              <w:top w:val="single" w:sz="8" w:space="0" w:color="000000"/>
              <w:left w:val="single" w:sz="8" w:space="0" w:color="000000"/>
              <w:bottom w:val="single" w:sz="8" w:space="0" w:color="000000"/>
              <w:right w:val="single" w:sz="8" w:space="0" w:color="000000"/>
            </w:tcBorders>
          </w:tcPr>
          <w:p w14:paraId="6F5D68A6" w14:textId="305A496A"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30,456,963.44</w:t>
            </w:r>
          </w:p>
        </w:tc>
        <w:tc>
          <w:tcPr>
            <w:tcW w:w="2167" w:type="dxa"/>
            <w:tcBorders>
              <w:top w:val="single" w:sz="8" w:space="0" w:color="000000"/>
              <w:left w:val="single" w:sz="8" w:space="0" w:color="000000"/>
              <w:bottom w:val="single" w:sz="8" w:space="0" w:color="000000"/>
              <w:right w:val="single" w:sz="8" w:space="0" w:color="000000"/>
            </w:tcBorders>
          </w:tcPr>
          <w:p w14:paraId="6D849F97" w14:textId="4A32D36E"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3.80</w:t>
            </w:r>
          </w:p>
        </w:tc>
      </w:tr>
      <w:tr w:rsidR="00B76D75" w:rsidRPr="00F60BEC" w14:paraId="1A36A1EF"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43A79C08"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K</w:t>
            </w:r>
          </w:p>
        </w:tc>
        <w:tc>
          <w:tcPr>
            <w:tcW w:w="3612" w:type="dxa"/>
            <w:tcBorders>
              <w:top w:val="single" w:sz="8" w:space="0" w:color="000000"/>
              <w:left w:val="single" w:sz="8" w:space="0" w:color="000000"/>
              <w:bottom w:val="single" w:sz="8" w:space="0" w:color="000000"/>
              <w:right w:val="single" w:sz="8" w:space="0" w:color="000000"/>
            </w:tcBorders>
            <w:vAlign w:val="center"/>
          </w:tcPr>
          <w:p w14:paraId="1019ADE2"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房地产业</w:t>
            </w:r>
          </w:p>
        </w:tc>
        <w:tc>
          <w:tcPr>
            <w:tcW w:w="2529" w:type="dxa"/>
            <w:tcBorders>
              <w:top w:val="single" w:sz="8" w:space="0" w:color="000000"/>
              <w:left w:val="single" w:sz="8" w:space="0" w:color="000000"/>
              <w:bottom w:val="single" w:sz="8" w:space="0" w:color="000000"/>
              <w:right w:val="single" w:sz="8" w:space="0" w:color="000000"/>
            </w:tcBorders>
          </w:tcPr>
          <w:p w14:paraId="44307BD0" w14:textId="074D918D"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130AA3B2" w14:textId="287EFCFD"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50E1F3DC"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CEEFF21"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L</w:t>
            </w:r>
          </w:p>
        </w:tc>
        <w:tc>
          <w:tcPr>
            <w:tcW w:w="3612" w:type="dxa"/>
            <w:tcBorders>
              <w:top w:val="single" w:sz="8" w:space="0" w:color="000000"/>
              <w:left w:val="single" w:sz="8" w:space="0" w:color="000000"/>
              <w:bottom w:val="single" w:sz="8" w:space="0" w:color="000000"/>
              <w:right w:val="single" w:sz="8" w:space="0" w:color="000000"/>
            </w:tcBorders>
            <w:vAlign w:val="center"/>
          </w:tcPr>
          <w:p w14:paraId="37BE5C65"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租赁和商务服务业</w:t>
            </w:r>
          </w:p>
        </w:tc>
        <w:tc>
          <w:tcPr>
            <w:tcW w:w="2529" w:type="dxa"/>
            <w:tcBorders>
              <w:top w:val="single" w:sz="8" w:space="0" w:color="000000"/>
              <w:left w:val="single" w:sz="8" w:space="0" w:color="000000"/>
              <w:bottom w:val="single" w:sz="8" w:space="0" w:color="000000"/>
              <w:right w:val="single" w:sz="8" w:space="0" w:color="000000"/>
            </w:tcBorders>
          </w:tcPr>
          <w:p w14:paraId="1CEB6C81" w14:textId="134F8151"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0EAE543A" w14:textId="3DA5567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74C0857C"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7552102"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M</w:t>
            </w:r>
          </w:p>
        </w:tc>
        <w:tc>
          <w:tcPr>
            <w:tcW w:w="3612" w:type="dxa"/>
            <w:tcBorders>
              <w:top w:val="single" w:sz="8" w:space="0" w:color="000000"/>
              <w:left w:val="single" w:sz="8" w:space="0" w:color="000000"/>
              <w:bottom w:val="single" w:sz="8" w:space="0" w:color="000000"/>
              <w:right w:val="single" w:sz="8" w:space="0" w:color="000000"/>
            </w:tcBorders>
            <w:vAlign w:val="center"/>
          </w:tcPr>
          <w:p w14:paraId="67DFF449"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科学研究和技术服务业</w:t>
            </w:r>
          </w:p>
        </w:tc>
        <w:tc>
          <w:tcPr>
            <w:tcW w:w="2529" w:type="dxa"/>
            <w:tcBorders>
              <w:top w:val="single" w:sz="8" w:space="0" w:color="000000"/>
              <w:left w:val="single" w:sz="8" w:space="0" w:color="000000"/>
              <w:bottom w:val="single" w:sz="8" w:space="0" w:color="000000"/>
              <w:right w:val="single" w:sz="8" w:space="0" w:color="000000"/>
            </w:tcBorders>
          </w:tcPr>
          <w:p w14:paraId="15AB74F5" w14:textId="1E116730"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6DB285B6" w14:textId="3574B8F8"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495F37C2"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8CDD551"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N</w:t>
            </w:r>
          </w:p>
        </w:tc>
        <w:tc>
          <w:tcPr>
            <w:tcW w:w="3612" w:type="dxa"/>
            <w:tcBorders>
              <w:top w:val="single" w:sz="8" w:space="0" w:color="000000"/>
              <w:left w:val="single" w:sz="8" w:space="0" w:color="000000"/>
              <w:bottom w:val="single" w:sz="8" w:space="0" w:color="000000"/>
              <w:right w:val="single" w:sz="8" w:space="0" w:color="000000"/>
            </w:tcBorders>
            <w:vAlign w:val="center"/>
          </w:tcPr>
          <w:p w14:paraId="2B7D543A"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水利、环境和公共设施管理业</w:t>
            </w:r>
          </w:p>
        </w:tc>
        <w:tc>
          <w:tcPr>
            <w:tcW w:w="2529" w:type="dxa"/>
            <w:tcBorders>
              <w:top w:val="single" w:sz="8" w:space="0" w:color="000000"/>
              <w:left w:val="single" w:sz="8" w:space="0" w:color="000000"/>
              <w:bottom w:val="single" w:sz="8" w:space="0" w:color="000000"/>
              <w:right w:val="single" w:sz="8" w:space="0" w:color="000000"/>
            </w:tcBorders>
          </w:tcPr>
          <w:p w14:paraId="0214F9B5" w14:textId="5619282F"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79BC56EA" w14:textId="6AFFCDDD"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49F341EE"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4EAFBD8"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O</w:t>
            </w:r>
          </w:p>
        </w:tc>
        <w:tc>
          <w:tcPr>
            <w:tcW w:w="3612" w:type="dxa"/>
            <w:tcBorders>
              <w:top w:val="single" w:sz="8" w:space="0" w:color="000000"/>
              <w:left w:val="single" w:sz="8" w:space="0" w:color="000000"/>
              <w:bottom w:val="single" w:sz="8" w:space="0" w:color="000000"/>
              <w:right w:val="single" w:sz="8" w:space="0" w:color="000000"/>
            </w:tcBorders>
            <w:vAlign w:val="center"/>
          </w:tcPr>
          <w:p w14:paraId="25CC7CAA"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居民服务、修理和其他服务业</w:t>
            </w:r>
          </w:p>
        </w:tc>
        <w:tc>
          <w:tcPr>
            <w:tcW w:w="2529" w:type="dxa"/>
            <w:tcBorders>
              <w:top w:val="single" w:sz="8" w:space="0" w:color="000000"/>
              <w:left w:val="single" w:sz="8" w:space="0" w:color="000000"/>
              <w:bottom w:val="single" w:sz="8" w:space="0" w:color="000000"/>
              <w:right w:val="single" w:sz="8" w:space="0" w:color="000000"/>
            </w:tcBorders>
          </w:tcPr>
          <w:p w14:paraId="30D74E84" w14:textId="23A7E69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4EEBDFBD" w14:textId="5F1AE53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45A5397D"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435335C"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P</w:t>
            </w:r>
          </w:p>
        </w:tc>
        <w:tc>
          <w:tcPr>
            <w:tcW w:w="3612" w:type="dxa"/>
            <w:tcBorders>
              <w:top w:val="single" w:sz="8" w:space="0" w:color="000000"/>
              <w:left w:val="single" w:sz="8" w:space="0" w:color="000000"/>
              <w:bottom w:val="single" w:sz="8" w:space="0" w:color="000000"/>
              <w:right w:val="single" w:sz="8" w:space="0" w:color="000000"/>
            </w:tcBorders>
            <w:vAlign w:val="center"/>
          </w:tcPr>
          <w:p w14:paraId="5800197A"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教育</w:t>
            </w:r>
          </w:p>
        </w:tc>
        <w:tc>
          <w:tcPr>
            <w:tcW w:w="2529" w:type="dxa"/>
            <w:tcBorders>
              <w:top w:val="single" w:sz="8" w:space="0" w:color="000000"/>
              <w:left w:val="single" w:sz="8" w:space="0" w:color="000000"/>
              <w:bottom w:val="single" w:sz="8" w:space="0" w:color="000000"/>
              <w:right w:val="single" w:sz="8" w:space="0" w:color="000000"/>
            </w:tcBorders>
          </w:tcPr>
          <w:p w14:paraId="16DE3AFC" w14:textId="14B109E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66898AF8" w14:textId="4748EC34"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435CA1A1"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E9B51BD"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Q</w:t>
            </w:r>
          </w:p>
        </w:tc>
        <w:tc>
          <w:tcPr>
            <w:tcW w:w="3612" w:type="dxa"/>
            <w:tcBorders>
              <w:top w:val="single" w:sz="8" w:space="0" w:color="000000"/>
              <w:left w:val="single" w:sz="8" w:space="0" w:color="000000"/>
              <w:bottom w:val="single" w:sz="8" w:space="0" w:color="000000"/>
              <w:right w:val="single" w:sz="8" w:space="0" w:color="000000"/>
            </w:tcBorders>
            <w:vAlign w:val="center"/>
          </w:tcPr>
          <w:p w14:paraId="579BBDFD"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卫生和社会工作</w:t>
            </w:r>
          </w:p>
        </w:tc>
        <w:tc>
          <w:tcPr>
            <w:tcW w:w="2529" w:type="dxa"/>
            <w:tcBorders>
              <w:top w:val="single" w:sz="8" w:space="0" w:color="000000"/>
              <w:left w:val="single" w:sz="8" w:space="0" w:color="000000"/>
              <w:bottom w:val="single" w:sz="8" w:space="0" w:color="000000"/>
              <w:right w:val="single" w:sz="8" w:space="0" w:color="000000"/>
            </w:tcBorders>
          </w:tcPr>
          <w:p w14:paraId="0CD47658" w14:textId="64E532F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4DCCC2DE" w14:textId="089F7E8E"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1CC2CF51"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53B1754E"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R</w:t>
            </w:r>
          </w:p>
        </w:tc>
        <w:tc>
          <w:tcPr>
            <w:tcW w:w="3612" w:type="dxa"/>
            <w:tcBorders>
              <w:top w:val="single" w:sz="8" w:space="0" w:color="000000"/>
              <w:left w:val="single" w:sz="8" w:space="0" w:color="000000"/>
              <w:bottom w:val="single" w:sz="8" w:space="0" w:color="000000"/>
              <w:right w:val="single" w:sz="8" w:space="0" w:color="000000"/>
            </w:tcBorders>
            <w:vAlign w:val="center"/>
          </w:tcPr>
          <w:p w14:paraId="59EE06AE"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文化、体育和娱乐业</w:t>
            </w:r>
          </w:p>
        </w:tc>
        <w:tc>
          <w:tcPr>
            <w:tcW w:w="2529" w:type="dxa"/>
            <w:tcBorders>
              <w:top w:val="single" w:sz="8" w:space="0" w:color="000000"/>
              <w:left w:val="single" w:sz="8" w:space="0" w:color="000000"/>
              <w:bottom w:val="single" w:sz="8" w:space="0" w:color="000000"/>
              <w:right w:val="single" w:sz="8" w:space="0" w:color="000000"/>
            </w:tcBorders>
          </w:tcPr>
          <w:p w14:paraId="1B8316C8" w14:textId="0ACC3EC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0F0DBAC5" w14:textId="382822FA"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529C9B82"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78980F4B"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S</w:t>
            </w:r>
          </w:p>
        </w:tc>
        <w:tc>
          <w:tcPr>
            <w:tcW w:w="3612" w:type="dxa"/>
            <w:tcBorders>
              <w:top w:val="single" w:sz="8" w:space="0" w:color="000000"/>
              <w:left w:val="single" w:sz="8" w:space="0" w:color="000000"/>
              <w:bottom w:val="single" w:sz="8" w:space="0" w:color="000000"/>
              <w:right w:val="single" w:sz="8" w:space="0" w:color="000000"/>
            </w:tcBorders>
            <w:vAlign w:val="center"/>
          </w:tcPr>
          <w:p w14:paraId="7C8FAB46"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综合</w:t>
            </w:r>
          </w:p>
        </w:tc>
        <w:tc>
          <w:tcPr>
            <w:tcW w:w="2529" w:type="dxa"/>
            <w:tcBorders>
              <w:top w:val="single" w:sz="8" w:space="0" w:color="000000"/>
              <w:left w:val="single" w:sz="8" w:space="0" w:color="000000"/>
              <w:bottom w:val="single" w:sz="8" w:space="0" w:color="000000"/>
              <w:right w:val="single" w:sz="8" w:space="0" w:color="000000"/>
            </w:tcBorders>
          </w:tcPr>
          <w:p w14:paraId="2EAAA686" w14:textId="0C20591A"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c>
          <w:tcPr>
            <w:tcW w:w="2167" w:type="dxa"/>
            <w:tcBorders>
              <w:top w:val="single" w:sz="8" w:space="0" w:color="000000"/>
              <w:left w:val="single" w:sz="8" w:space="0" w:color="000000"/>
              <w:bottom w:val="single" w:sz="8" w:space="0" w:color="000000"/>
              <w:right w:val="single" w:sz="8" w:space="0" w:color="000000"/>
            </w:tcBorders>
          </w:tcPr>
          <w:p w14:paraId="63C33387" w14:textId="37212E8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w:t>
            </w:r>
          </w:p>
        </w:tc>
      </w:tr>
      <w:tr w:rsidR="00B76D75" w:rsidRPr="00F60BEC" w14:paraId="466EEEB3"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5D069F6B" w14:textId="77777777" w:rsidR="00B76D75" w:rsidRPr="00F60BEC" w:rsidRDefault="00B76D75" w:rsidP="00B76D75">
            <w:pPr>
              <w:autoSpaceDE w:val="0"/>
              <w:autoSpaceDN w:val="0"/>
              <w:adjustRightInd w:val="0"/>
              <w:spacing w:line="288" w:lineRule="auto"/>
              <w:jc w:val="center"/>
              <w:rPr>
                <w:rFonts w:asciiTheme="minorEastAsia" w:hAnsiTheme="minorEastAsia"/>
                <w:color w:val="000000"/>
                <w:kern w:val="0"/>
                <w:sz w:val="24"/>
                <w:szCs w:val="24"/>
              </w:rPr>
            </w:pPr>
          </w:p>
        </w:tc>
        <w:tc>
          <w:tcPr>
            <w:tcW w:w="3612" w:type="dxa"/>
            <w:tcBorders>
              <w:top w:val="single" w:sz="8" w:space="0" w:color="000000"/>
              <w:left w:val="single" w:sz="8" w:space="0" w:color="000000"/>
              <w:bottom w:val="single" w:sz="8" w:space="0" w:color="000000"/>
              <w:right w:val="single" w:sz="8" w:space="0" w:color="000000"/>
            </w:tcBorders>
            <w:vAlign w:val="center"/>
          </w:tcPr>
          <w:p w14:paraId="621EB9DD"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合计</w:t>
            </w:r>
          </w:p>
        </w:tc>
        <w:tc>
          <w:tcPr>
            <w:tcW w:w="2529" w:type="dxa"/>
            <w:tcBorders>
              <w:top w:val="single" w:sz="8" w:space="0" w:color="000000"/>
              <w:left w:val="single" w:sz="8" w:space="0" w:color="000000"/>
              <w:bottom w:val="single" w:sz="8" w:space="0" w:color="000000"/>
              <w:right w:val="single" w:sz="8" w:space="0" w:color="000000"/>
            </w:tcBorders>
          </w:tcPr>
          <w:p w14:paraId="4FCD4600" w14:textId="0D52E9C4"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30,793,395.12</w:t>
            </w:r>
          </w:p>
        </w:tc>
        <w:tc>
          <w:tcPr>
            <w:tcW w:w="2167" w:type="dxa"/>
            <w:tcBorders>
              <w:top w:val="single" w:sz="8" w:space="0" w:color="000000"/>
              <w:left w:val="single" w:sz="8" w:space="0" w:color="000000"/>
              <w:bottom w:val="single" w:sz="8" w:space="0" w:color="000000"/>
              <w:right w:val="single" w:sz="8" w:space="0" w:color="000000"/>
            </w:tcBorders>
          </w:tcPr>
          <w:p w14:paraId="11034B5D" w14:textId="3CCBCDC7"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686D0B">
              <w:t>3.84</w:t>
            </w:r>
          </w:p>
        </w:tc>
      </w:tr>
    </w:tbl>
    <w:p w14:paraId="28C8208C" w14:textId="77777777" w:rsidR="00C00DE9" w:rsidRPr="00C6511B" w:rsidRDefault="00C00DE9" w:rsidP="00C00DE9">
      <w:pPr>
        <w:spacing w:before="50" w:line="360" w:lineRule="auto"/>
        <w:ind w:firstLine="480"/>
        <w:rPr>
          <w:rFonts w:ascii="宋体" w:hAnsi="宋体"/>
          <w:bCs/>
          <w:color w:val="000000"/>
          <w:sz w:val="24"/>
          <w:szCs w:val="24"/>
        </w:rPr>
      </w:pPr>
      <w:r w:rsidRPr="00C6511B">
        <w:rPr>
          <w:rFonts w:ascii="宋体" w:hAnsi="宋体"/>
          <w:bCs/>
          <w:color w:val="000000"/>
          <w:sz w:val="24"/>
          <w:szCs w:val="24"/>
        </w:rPr>
        <w:t>3、报告期末按公允价值占基金资产净值比例大小排序的前十名股票投资明细</w:t>
      </w:r>
    </w:p>
    <w:tbl>
      <w:tblPr>
        <w:tblW w:w="9030" w:type="dxa"/>
        <w:tblInd w:w="108" w:type="dxa"/>
        <w:tblLayout w:type="fixed"/>
        <w:tblLook w:val="0000" w:firstRow="0" w:lastRow="0" w:firstColumn="0" w:lastColumn="0" w:noHBand="0" w:noVBand="0"/>
      </w:tblPr>
      <w:tblGrid>
        <w:gridCol w:w="722"/>
        <w:gridCol w:w="1445"/>
        <w:gridCol w:w="1445"/>
        <w:gridCol w:w="1806"/>
        <w:gridCol w:w="1806"/>
        <w:gridCol w:w="1806"/>
      </w:tblGrid>
      <w:tr w:rsidR="00C00DE9" w14:paraId="5B379B00"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20955455" w14:textId="77777777" w:rsidR="00C00DE9" w:rsidRDefault="00C00DE9" w:rsidP="00C826D7">
            <w:pPr>
              <w:autoSpaceDE w:val="0"/>
              <w:autoSpaceDN w:val="0"/>
              <w:adjustRightInd w:val="0"/>
              <w:spacing w:before="29" w:line="288" w:lineRule="auto"/>
              <w:ind w:left="15"/>
              <w:jc w:val="center"/>
              <w:rPr>
                <w:rFonts w:ascii="宋体"/>
                <w:color w:val="000000"/>
                <w:kern w:val="0"/>
                <w:sz w:val="24"/>
                <w:szCs w:val="24"/>
              </w:rPr>
            </w:pPr>
            <w:r>
              <w:rPr>
                <w:rFonts w:ascii="宋体" w:hint="eastAsia"/>
                <w:color w:val="000000"/>
                <w:kern w:val="0"/>
                <w:sz w:val="24"/>
                <w:szCs w:val="24"/>
              </w:rPr>
              <w:t>序号</w:t>
            </w:r>
          </w:p>
        </w:tc>
        <w:tc>
          <w:tcPr>
            <w:tcW w:w="1445" w:type="dxa"/>
            <w:tcBorders>
              <w:top w:val="single" w:sz="8" w:space="0" w:color="000000"/>
              <w:left w:val="single" w:sz="8" w:space="0" w:color="000000"/>
              <w:bottom w:val="single" w:sz="8" w:space="0" w:color="000000"/>
              <w:right w:val="single" w:sz="8" w:space="0" w:color="000000"/>
            </w:tcBorders>
            <w:vAlign w:val="center"/>
          </w:tcPr>
          <w:p w14:paraId="1BD10092" w14:textId="77777777" w:rsidR="00C00DE9" w:rsidRDefault="00C00DE9" w:rsidP="00C826D7">
            <w:pPr>
              <w:autoSpaceDE w:val="0"/>
              <w:autoSpaceDN w:val="0"/>
              <w:adjustRightInd w:val="0"/>
              <w:spacing w:before="29" w:line="288" w:lineRule="auto"/>
              <w:ind w:left="15"/>
              <w:jc w:val="center"/>
              <w:rPr>
                <w:rFonts w:ascii="宋体"/>
                <w:color w:val="000000"/>
                <w:kern w:val="0"/>
                <w:sz w:val="24"/>
                <w:szCs w:val="24"/>
              </w:rPr>
            </w:pPr>
            <w:r>
              <w:rPr>
                <w:rFonts w:ascii="宋体" w:hint="eastAsia"/>
                <w:color w:val="000000"/>
                <w:kern w:val="0"/>
                <w:sz w:val="24"/>
                <w:szCs w:val="24"/>
              </w:rPr>
              <w:t>股票代码</w:t>
            </w:r>
          </w:p>
        </w:tc>
        <w:tc>
          <w:tcPr>
            <w:tcW w:w="1445" w:type="dxa"/>
            <w:tcBorders>
              <w:top w:val="single" w:sz="8" w:space="0" w:color="000000"/>
              <w:left w:val="single" w:sz="8" w:space="0" w:color="000000"/>
              <w:bottom w:val="single" w:sz="8" w:space="0" w:color="000000"/>
              <w:right w:val="single" w:sz="8" w:space="0" w:color="000000"/>
            </w:tcBorders>
            <w:vAlign w:val="center"/>
          </w:tcPr>
          <w:p w14:paraId="3C0FA3A7" w14:textId="77777777" w:rsidR="00C00DE9" w:rsidRDefault="00C00DE9" w:rsidP="00C826D7">
            <w:pPr>
              <w:autoSpaceDE w:val="0"/>
              <w:autoSpaceDN w:val="0"/>
              <w:adjustRightInd w:val="0"/>
              <w:spacing w:before="29" w:line="288" w:lineRule="auto"/>
              <w:ind w:left="15"/>
              <w:jc w:val="center"/>
              <w:rPr>
                <w:rFonts w:ascii="宋体"/>
                <w:color w:val="000000"/>
                <w:kern w:val="0"/>
                <w:sz w:val="24"/>
                <w:szCs w:val="24"/>
              </w:rPr>
            </w:pPr>
            <w:r>
              <w:rPr>
                <w:rFonts w:ascii="宋体" w:hint="eastAsia"/>
                <w:color w:val="000000"/>
                <w:kern w:val="0"/>
                <w:sz w:val="24"/>
                <w:szCs w:val="24"/>
              </w:rPr>
              <w:t>股票名称</w:t>
            </w:r>
          </w:p>
        </w:tc>
        <w:tc>
          <w:tcPr>
            <w:tcW w:w="1806" w:type="dxa"/>
            <w:tcBorders>
              <w:top w:val="single" w:sz="8" w:space="0" w:color="000000"/>
              <w:left w:val="single" w:sz="8" w:space="0" w:color="000000"/>
              <w:bottom w:val="single" w:sz="8" w:space="0" w:color="000000"/>
              <w:right w:val="single" w:sz="8" w:space="0" w:color="000000"/>
            </w:tcBorders>
            <w:vAlign w:val="center"/>
          </w:tcPr>
          <w:p w14:paraId="3F060380" w14:textId="77777777" w:rsidR="00C00DE9" w:rsidRDefault="00C00DE9" w:rsidP="00C826D7">
            <w:pPr>
              <w:autoSpaceDE w:val="0"/>
              <w:autoSpaceDN w:val="0"/>
              <w:adjustRightInd w:val="0"/>
              <w:spacing w:before="29" w:line="288" w:lineRule="auto"/>
              <w:ind w:left="15"/>
              <w:jc w:val="center"/>
              <w:rPr>
                <w:rFonts w:ascii="宋体"/>
                <w:color w:val="000000"/>
                <w:kern w:val="0"/>
                <w:sz w:val="24"/>
                <w:szCs w:val="24"/>
              </w:rPr>
            </w:pPr>
            <w:r>
              <w:rPr>
                <w:rFonts w:ascii="宋体" w:hint="eastAsia"/>
                <w:color w:val="000000"/>
                <w:kern w:val="0"/>
                <w:sz w:val="24"/>
                <w:szCs w:val="24"/>
              </w:rPr>
              <w:t>数量（股）</w:t>
            </w:r>
          </w:p>
        </w:tc>
        <w:tc>
          <w:tcPr>
            <w:tcW w:w="1806" w:type="dxa"/>
            <w:tcBorders>
              <w:top w:val="single" w:sz="8" w:space="0" w:color="000000"/>
              <w:left w:val="single" w:sz="8" w:space="0" w:color="000000"/>
              <w:bottom w:val="single" w:sz="8" w:space="0" w:color="000000"/>
              <w:right w:val="single" w:sz="8" w:space="0" w:color="000000"/>
            </w:tcBorders>
            <w:vAlign w:val="center"/>
          </w:tcPr>
          <w:p w14:paraId="64C12A6D" w14:textId="77777777" w:rsidR="00C00DE9" w:rsidRDefault="00C00DE9" w:rsidP="00C826D7">
            <w:pPr>
              <w:autoSpaceDE w:val="0"/>
              <w:autoSpaceDN w:val="0"/>
              <w:adjustRightInd w:val="0"/>
              <w:spacing w:before="29" w:line="288" w:lineRule="auto"/>
              <w:ind w:left="15"/>
              <w:jc w:val="center"/>
              <w:rPr>
                <w:rFonts w:ascii="宋体"/>
                <w:color w:val="000000"/>
                <w:kern w:val="0"/>
                <w:sz w:val="24"/>
                <w:szCs w:val="24"/>
              </w:rPr>
            </w:pPr>
            <w:r>
              <w:rPr>
                <w:rFonts w:ascii="宋体" w:hint="eastAsia"/>
                <w:color w:val="000000"/>
                <w:kern w:val="0"/>
                <w:sz w:val="24"/>
                <w:szCs w:val="24"/>
              </w:rPr>
              <w:t>公允价值（元）</w:t>
            </w:r>
          </w:p>
        </w:tc>
        <w:tc>
          <w:tcPr>
            <w:tcW w:w="1806" w:type="dxa"/>
            <w:tcBorders>
              <w:top w:val="single" w:sz="8" w:space="0" w:color="000000"/>
              <w:left w:val="single" w:sz="8" w:space="0" w:color="000000"/>
              <w:bottom w:val="single" w:sz="8" w:space="0" w:color="000000"/>
              <w:right w:val="single" w:sz="8" w:space="0" w:color="000000"/>
            </w:tcBorders>
            <w:vAlign w:val="center"/>
          </w:tcPr>
          <w:p w14:paraId="61858B23" w14:textId="77777777" w:rsidR="00C00DE9" w:rsidRDefault="00C00DE9" w:rsidP="00C826D7">
            <w:pPr>
              <w:autoSpaceDE w:val="0"/>
              <w:autoSpaceDN w:val="0"/>
              <w:adjustRightInd w:val="0"/>
              <w:spacing w:before="29" w:line="288" w:lineRule="auto"/>
              <w:ind w:left="15"/>
              <w:jc w:val="center"/>
              <w:rPr>
                <w:rFonts w:ascii="宋体"/>
                <w:color w:val="000000"/>
                <w:kern w:val="0"/>
                <w:sz w:val="24"/>
                <w:szCs w:val="24"/>
              </w:rPr>
            </w:pPr>
            <w:r>
              <w:rPr>
                <w:rFonts w:ascii="宋体" w:hint="eastAsia"/>
                <w:color w:val="000000"/>
                <w:kern w:val="0"/>
                <w:sz w:val="24"/>
                <w:szCs w:val="24"/>
              </w:rPr>
              <w:t>占基金资产净值比例（％）</w:t>
            </w:r>
          </w:p>
        </w:tc>
      </w:tr>
      <w:tr w:rsidR="00B76D75" w14:paraId="05B657E4"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7F422E4E"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1</w:t>
            </w:r>
          </w:p>
        </w:tc>
        <w:tc>
          <w:tcPr>
            <w:tcW w:w="1445" w:type="dxa"/>
            <w:tcBorders>
              <w:top w:val="single" w:sz="8" w:space="0" w:color="000000"/>
              <w:left w:val="single" w:sz="8" w:space="0" w:color="000000"/>
              <w:bottom w:val="single" w:sz="8" w:space="0" w:color="000000"/>
              <w:right w:val="single" w:sz="8" w:space="0" w:color="000000"/>
            </w:tcBorders>
          </w:tcPr>
          <w:p w14:paraId="28F76857" w14:textId="42567C55"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601398</w:t>
            </w:r>
          </w:p>
        </w:tc>
        <w:tc>
          <w:tcPr>
            <w:tcW w:w="1445" w:type="dxa"/>
            <w:tcBorders>
              <w:top w:val="single" w:sz="8" w:space="0" w:color="000000"/>
              <w:left w:val="single" w:sz="8" w:space="0" w:color="000000"/>
              <w:bottom w:val="single" w:sz="8" w:space="0" w:color="000000"/>
              <w:right w:val="single" w:sz="8" w:space="0" w:color="000000"/>
            </w:tcBorders>
          </w:tcPr>
          <w:p w14:paraId="366A8AC7" w14:textId="32E081E1"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工商银行</w:t>
            </w:r>
          </w:p>
        </w:tc>
        <w:tc>
          <w:tcPr>
            <w:tcW w:w="1806" w:type="dxa"/>
            <w:tcBorders>
              <w:top w:val="single" w:sz="8" w:space="0" w:color="000000"/>
              <w:left w:val="single" w:sz="8" w:space="0" w:color="000000"/>
              <w:bottom w:val="single" w:sz="8" w:space="0" w:color="000000"/>
              <w:right w:val="single" w:sz="8" w:space="0" w:color="000000"/>
            </w:tcBorders>
          </w:tcPr>
          <w:p w14:paraId="305ABE79" w14:textId="53D403EC"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4,000,000</w:t>
            </w:r>
          </w:p>
        </w:tc>
        <w:tc>
          <w:tcPr>
            <w:tcW w:w="1806" w:type="dxa"/>
            <w:tcBorders>
              <w:top w:val="single" w:sz="8" w:space="0" w:color="000000"/>
              <w:left w:val="single" w:sz="8" w:space="0" w:color="000000"/>
              <w:bottom w:val="single" w:sz="8" w:space="0" w:color="000000"/>
              <w:right w:val="single" w:sz="8" w:space="0" w:color="000000"/>
            </w:tcBorders>
          </w:tcPr>
          <w:p w14:paraId="2449FB0E" w14:textId="389AEDC8"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17,720,000.00</w:t>
            </w:r>
          </w:p>
        </w:tc>
        <w:tc>
          <w:tcPr>
            <w:tcW w:w="1806" w:type="dxa"/>
            <w:tcBorders>
              <w:top w:val="single" w:sz="8" w:space="0" w:color="000000"/>
              <w:left w:val="single" w:sz="8" w:space="0" w:color="000000"/>
              <w:bottom w:val="single" w:sz="8" w:space="0" w:color="000000"/>
              <w:right w:val="single" w:sz="8" w:space="0" w:color="000000"/>
            </w:tcBorders>
          </w:tcPr>
          <w:p w14:paraId="45310C6C" w14:textId="79F8BE7F"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2.21</w:t>
            </w:r>
          </w:p>
        </w:tc>
      </w:tr>
      <w:tr w:rsidR="00B76D75" w14:paraId="14D07280"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F567256"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2</w:t>
            </w:r>
          </w:p>
        </w:tc>
        <w:tc>
          <w:tcPr>
            <w:tcW w:w="1445" w:type="dxa"/>
            <w:tcBorders>
              <w:top w:val="single" w:sz="8" w:space="0" w:color="000000"/>
              <w:left w:val="single" w:sz="8" w:space="0" w:color="000000"/>
              <w:bottom w:val="single" w:sz="8" w:space="0" w:color="000000"/>
              <w:right w:val="single" w:sz="8" w:space="0" w:color="000000"/>
            </w:tcBorders>
          </w:tcPr>
          <w:p w14:paraId="726D2308" w14:textId="5FDC443B"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002142</w:t>
            </w:r>
          </w:p>
        </w:tc>
        <w:tc>
          <w:tcPr>
            <w:tcW w:w="1445" w:type="dxa"/>
            <w:tcBorders>
              <w:top w:val="single" w:sz="8" w:space="0" w:color="000000"/>
              <w:left w:val="single" w:sz="8" w:space="0" w:color="000000"/>
              <w:bottom w:val="single" w:sz="8" w:space="0" w:color="000000"/>
              <w:right w:val="single" w:sz="8" w:space="0" w:color="000000"/>
            </w:tcBorders>
          </w:tcPr>
          <w:p w14:paraId="5FE5E948" w14:textId="4D4C2796"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宁波银行</w:t>
            </w:r>
          </w:p>
        </w:tc>
        <w:tc>
          <w:tcPr>
            <w:tcW w:w="1806" w:type="dxa"/>
            <w:tcBorders>
              <w:top w:val="single" w:sz="8" w:space="0" w:color="000000"/>
              <w:left w:val="single" w:sz="8" w:space="0" w:color="000000"/>
              <w:bottom w:val="single" w:sz="8" w:space="0" w:color="000000"/>
              <w:right w:val="single" w:sz="8" w:space="0" w:color="000000"/>
            </w:tcBorders>
          </w:tcPr>
          <w:p w14:paraId="12336745" w14:textId="383ECE94"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619,867</w:t>
            </w:r>
          </w:p>
        </w:tc>
        <w:tc>
          <w:tcPr>
            <w:tcW w:w="1806" w:type="dxa"/>
            <w:tcBorders>
              <w:top w:val="single" w:sz="8" w:space="0" w:color="000000"/>
              <w:left w:val="single" w:sz="8" w:space="0" w:color="000000"/>
              <w:bottom w:val="single" w:sz="8" w:space="0" w:color="000000"/>
              <w:right w:val="single" w:sz="8" w:space="0" w:color="000000"/>
            </w:tcBorders>
          </w:tcPr>
          <w:p w14:paraId="590D7C0F" w14:textId="608A34CB"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9,700,918.55</w:t>
            </w:r>
          </w:p>
        </w:tc>
        <w:tc>
          <w:tcPr>
            <w:tcW w:w="1806" w:type="dxa"/>
            <w:tcBorders>
              <w:top w:val="single" w:sz="8" w:space="0" w:color="000000"/>
              <w:left w:val="single" w:sz="8" w:space="0" w:color="000000"/>
              <w:bottom w:val="single" w:sz="8" w:space="0" w:color="000000"/>
              <w:right w:val="single" w:sz="8" w:space="0" w:color="000000"/>
            </w:tcBorders>
          </w:tcPr>
          <w:p w14:paraId="755D3BEA" w14:textId="096195C0"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1.21</w:t>
            </w:r>
          </w:p>
        </w:tc>
      </w:tr>
      <w:tr w:rsidR="00B76D75" w14:paraId="70FC58DE"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BC560F5"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3</w:t>
            </w:r>
          </w:p>
        </w:tc>
        <w:tc>
          <w:tcPr>
            <w:tcW w:w="1445" w:type="dxa"/>
            <w:tcBorders>
              <w:top w:val="single" w:sz="8" w:space="0" w:color="000000"/>
              <w:left w:val="single" w:sz="8" w:space="0" w:color="000000"/>
              <w:bottom w:val="single" w:sz="8" w:space="0" w:color="000000"/>
              <w:right w:val="single" w:sz="8" w:space="0" w:color="000000"/>
            </w:tcBorders>
          </w:tcPr>
          <w:p w14:paraId="7E256347" w14:textId="35F7A684"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601939</w:t>
            </w:r>
          </w:p>
        </w:tc>
        <w:tc>
          <w:tcPr>
            <w:tcW w:w="1445" w:type="dxa"/>
            <w:tcBorders>
              <w:top w:val="single" w:sz="8" w:space="0" w:color="000000"/>
              <w:left w:val="single" w:sz="8" w:space="0" w:color="000000"/>
              <w:bottom w:val="single" w:sz="8" w:space="0" w:color="000000"/>
              <w:right w:val="single" w:sz="8" w:space="0" w:color="000000"/>
            </w:tcBorders>
          </w:tcPr>
          <w:p w14:paraId="7B5E978C" w14:textId="5DE80509"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建设银行</w:t>
            </w:r>
          </w:p>
        </w:tc>
        <w:tc>
          <w:tcPr>
            <w:tcW w:w="1806" w:type="dxa"/>
            <w:tcBorders>
              <w:top w:val="single" w:sz="8" w:space="0" w:color="000000"/>
              <w:left w:val="single" w:sz="8" w:space="0" w:color="000000"/>
              <w:bottom w:val="single" w:sz="8" w:space="0" w:color="000000"/>
              <w:right w:val="single" w:sz="8" w:space="0" w:color="000000"/>
            </w:tcBorders>
          </w:tcPr>
          <w:p w14:paraId="76E8C054" w14:textId="4FC1D426"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400,000</w:t>
            </w:r>
          </w:p>
        </w:tc>
        <w:tc>
          <w:tcPr>
            <w:tcW w:w="1806" w:type="dxa"/>
            <w:tcBorders>
              <w:top w:val="single" w:sz="8" w:space="0" w:color="000000"/>
              <w:left w:val="single" w:sz="8" w:space="0" w:color="000000"/>
              <w:bottom w:val="single" w:sz="8" w:space="0" w:color="000000"/>
              <w:right w:val="single" w:sz="8" w:space="0" w:color="000000"/>
            </w:tcBorders>
          </w:tcPr>
          <w:p w14:paraId="5A275B10" w14:textId="182BA81D"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2,072,000.00</w:t>
            </w:r>
          </w:p>
        </w:tc>
        <w:tc>
          <w:tcPr>
            <w:tcW w:w="1806" w:type="dxa"/>
            <w:tcBorders>
              <w:top w:val="single" w:sz="8" w:space="0" w:color="000000"/>
              <w:left w:val="single" w:sz="8" w:space="0" w:color="000000"/>
              <w:bottom w:val="single" w:sz="8" w:space="0" w:color="000000"/>
              <w:right w:val="single" w:sz="8" w:space="0" w:color="000000"/>
            </w:tcBorders>
          </w:tcPr>
          <w:p w14:paraId="32DD5B17" w14:textId="070A751C"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0.26</w:t>
            </w:r>
          </w:p>
        </w:tc>
      </w:tr>
      <w:tr w:rsidR="00B76D75" w14:paraId="4B4868CC"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BEA42D9"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4</w:t>
            </w:r>
          </w:p>
        </w:tc>
        <w:tc>
          <w:tcPr>
            <w:tcW w:w="1445" w:type="dxa"/>
            <w:tcBorders>
              <w:top w:val="single" w:sz="8" w:space="0" w:color="000000"/>
              <w:left w:val="single" w:sz="8" w:space="0" w:color="000000"/>
              <w:bottom w:val="single" w:sz="8" w:space="0" w:color="000000"/>
              <w:right w:val="single" w:sz="8" w:space="0" w:color="000000"/>
            </w:tcBorders>
          </w:tcPr>
          <w:p w14:paraId="05133E9A" w14:textId="7AE9967A"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600036</w:t>
            </w:r>
          </w:p>
        </w:tc>
        <w:tc>
          <w:tcPr>
            <w:tcW w:w="1445" w:type="dxa"/>
            <w:tcBorders>
              <w:top w:val="single" w:sz="8" w:space="0" w:color="000000"/>
              <w:left w:val="single" w:sz="8" w:space="0" w:color="000000"/>
              <w:bottom w:val="single" w:sz="8" w:space="0" w:color="000000"/>
              <w:right w:val="single" w:sz="8" w:space="0" w:color="000000"/>
            </w:tcBorders>
          </w:tcPr>
          <w:p w14:paraId="4E553D29" w14:textId="777B69A2"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招商银行</w:t>
            </w:r>
          </w:p>
        </w:tc>
        <w:tc>
          <w:tcPr>
            <w:tcW w:w="1806" w:type="dxa"/>
            <w:tcBorders>
              <w:top w:val="single" w:sz="8" w:space="0" w:color="000000"/>
              <w:left w:val="single" w:sz="8" w:space="0" w:color="000000"/>
              <w:bottom w:val="single" w:sz="8" w:space="0" w:color="000000"/>
              <w:right w:val="single" w:sz="8" w:space="0" w:color="000000"/>
            </w:tcBorders>
          </w:tcPr>
          <w:p w14:paraId="371835F9" w14:textId="4257B4CD"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50,000</w:t>
            </w:r>
          </w:p>
        </w:tc>
        <w:tc>
          <w:tcPr>
            <w:tcW w:w="1806" w:type="dxa"/>
            <w:tcBorders>
              <w:top w:val="single" w:sz="8" w:space="0" w:color="000000"/>
              <w:left w:val="single" w:sz="8" w:space="0" w:color="000000"/>
              <w:bottom w:val="single" w:sz="8" w:space="0" w:color="000000"/>
              <w:right w:val="single" w:sz="8" w:space="0" w:color="000000"/>
            </w:tcBorders>
          </w:tcPr>
          <w:p w14:paraId="36DB5066" w14:textId="1308DBDE"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900,000.00</w:t>
            </w:r>
          </w:p>
        </w:tc>
        <w:tc>
          <w:tcPr>
            <w:tcW w:w="1806" w:type="dxa"/>
            <w:tcBorders>
              <w:top w:val="single" w:sz="8" w:space="0" w:color="000000"/>
              <w:left w:val="single" w:sz="8" w:space="0" w:color="000000"/>
              <w:bottom w:val="single" w:sz="8" w:space="0" w:color="000000"/>
              <w:right w:val="single" w:sz="8" w:space="0" w:color="000000"/>
            </w:tcBorders>
          </w:tcPr>
          <w:p w14:paraId="16A822B6" w14:textId="316AE371"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0.11</w:t>
            </w:r>
          </w:p>
        </w:tc>
      </w:tr>
      <w:tr w:rsidR="00B76D75" w14:paraId="538C04E5"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3E93B4B"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5</w:t>
            </w:r>
          </w:p>
        </w:tc>
        <w:tc>
          <w:tcPr>
            <w:tcW w:w="1445" w:type="dxa"/>
            <w:tcBorders>
              <w:top w:val="single" w:sz="8" w:space="0" w:color="000000"/>
              <w:left w:val="single" w:sz="8" w:space="0" w:color="000000"/>
              <w:bottom w:val="single" w:sz="8" w:space="0" w:color="000000"/>
              <w:right w:val="single" w:sz="8" w:space="0" w:color="000000"/>
            </w:tcBorders>
          </w:tcPr>
          <w:p w14:paraId="15947647" w14:textId="70992903"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603313</w:t>
            </w:r>
          </w:p>
        </w:tc>
        <w:tc>
          <w:tcPr>
            <w:tcW w:w="1445" w:type="dxa"/>
            <w:tcBorders>
              <w:top w:val="single" w:sz="8" w:space="0" w:color="000000"/>
              <w:left w:val="single" w:sz="8" w:space="0" w:color="000000"/>
              <w:bottom w:val="single" w:sz="8" w:space="0" w:color="000000"/>
              <w:right w:val="single" w:sz="8" w:space="0" w:color="000000"/>
            </w:tcBorders>
          </w:tcPr>
          <w:p w14:paraId="7B8A46F3" w14:textId="7D8AE9E8"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恒康家居</w:t>
            </w:r>
          </w:p>
        </w:tc>
        <w:tc>
          <w:tcPr>
            <w:tcW w:w="1806" w:type="dxa"/>
            <w:tcBorders>
              <w:top w:val="single" w:sz="8" w:space="0" w:color="000000"/>
              <w:left w:val="single" w:sz="8" w:space="0" w:color="000000"/>
              <w:bottom w:val="single" w:sz="8" w:space="0" w:color="000000"/>
              <w:right w:val="single" w:sz="8" w:space="0" w:color="000000"/>
            </w:tcBorders>
          </w:tcPr>
          <w:p w14:paraId="02D0CB39" w14:textId="0AA76036"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6,501</w:t>
            </w:r>
          </w:p>
        </w:tc>
        <w:tc>
          <w:tcPr>
            <w:tcW w:w="1806" w:type="dxa"/>
            <w:tcBorders>
              <w:top w:val="single" w:sz="8" w:space="0" w:color="000000"/>
              <w:left w:val="single" w:sz="8" w:space="0" w:color="000000"/>
              <w:bottom w:val="single" w:sz="8" w:space="0" w:color="000000"/>
              <w:right w:val="single" w:sz="8" w:space="0" w:color="000000"/>
            </w:tcBorders>
          </w:tcPr>
          <w:p w14:paraId="1F10EF66" w14:textId="19800D12"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100,180.41</w:t>
            </w:r>
          </w:p>
        </w:tc>
        <w:tc>
          <w:tcPr>
            <w:tcW w:w="1806" w:type="dxa"/>
            <w:tcBorders>
              <w:top w:val="single" w:sz="8" w:space="0" w:color="000000"/>
              <w:left w:val="single" w:sz="8" w:space="0" w:color="000000"/>
              <w:bottom w:val="single" w:sz="8" w:space="0" w:color="000000"/>
              <w:right w:val="single" w:sz="8" w:space="0" w:color="000000"/>
            </w:tcBorders>
          </w:tcPr>
          <w:p w14:paraId="67BCDD8B" w14:textId="7D95EF79"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0.01</w:t>
            </w:r>
          </w:p>
        </w:tc>
      </w:tr>
      <w:tr w:rsidR="00B76D75" w14:paraId="6C2094BE"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DA4B882"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6</w:t>
            </w:r>
          </w:p>
        </w:tc>
        <w:tc>
          <w:tcPr>
            <w:tcW w:w="1445" w:type="dxa"/>
            <w:tcBorders>
              <w:top w:val="single" w:sz="8" w:space="0" w:color="000000"/>
              <w:left w:val="single" w:sz="8" w:space="0" w:color="000000"/>
              <w:bottom w:val="single" w:sz="8" w:space="0" w:color="000000"/>
              <w:right w:val="single" w:sz="8" w:space="0" w:color="000000"/>
            </w:tcBorders>
          </w:tcPr>
          <w:p w14:paraId="73471B9B" w14:textId="2EE536E3"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603816</w:t>
            </w:r>
          </w:p>
        </w:tc>
        <w:tc>
          <w:tcPr>
            <w:tcW w:w="1445" w:type="dxa"/>
            <w:tcBorders>
              <w:top w:val="single" w:sz="8" w:space="0" w:color="000000"/>
              <w:left w:val="single" w:sz="8" w:space="0" w:color="000000"/>
              <w:bottom w:val="single" w:sz="8" w:space="0" w:color="000000"/>
              <w:right w:val="single" w:sz="8" w:space="0" w:color="000000"/>
            </w:tcBorders>
          </w:tcPr>
          <w:p w14:paraId="09FAF4FC" w14:textId="408D4030"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顾家家居</w:t>
            </w:r>
          </w:p>
        </w:tc>
        <w:tc>
          <w:tcPr>
            <w:tcW w:w="1806" w:type="dxa"/>
            <w:tcBorders>
              <w:top w:val="single" w:sz="8" w:space="0" w:color="000000"/>
              <w:left w:val="single" w:sz="8" w:space="0" w:color="000000"/>
              <w:bottom w:val="single" w:sz="8" w:space="0" w:color="000000"/>
              <w:right w:val="single" w:sz="8" w:space="0" w:color="000000"/>
            </w:tcBorders>
          </w:tcPr>
          <w:p w14:paraId="7B951BC5" w14:textId="20400A74"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2,947</w:t>
            </w:r>
          </w:p>
        </w:tc>
        <w:tc>
          <w:tcPr>
            <w:tcW w:w="1806" w:type="dxa"/>
            <w:tcBorders>
              <w:top w:val="single" w:sz="8" w:space="0" w:color="000000"/>
              <w:left w:val="single" w:sz="8" w:space="0" w:color="000000"/>
              <w:bottom w:val="single" w:sz="8" w:space="0" w:color="000000"/>
              <w:right w:val="single" w:sz="8" w:space="0" w:color="000000"/>
            </w:tcBorders>
          </w:tcPr>
          <w:p w14:paraId="2257458F" w14:textId="7D49E983"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72,673.02</w:t>
            </w:r>
          </w:p>
        </w:tc>
        <w:tc>
          <w:tcPr>
            <w:tcW w:w="1806" w:type="dxa"/>
            <w:tcBorders>
              <w:top w:val="single" w:sz="8" w:space="0" w:color="000000"/>
              <w:left w:val="single" w:sz="8" w:space="0" w:color="000000"/>
              <w:bottom w:val="single" w:sz="8" w:space="0" w:color="000000"/>
              <w:right w:val="single" w:sz="8" w:space="0" w:color="000000"/>
            </w:tcBorders>
          </w:tcPr>
          <w:p w14:paraId="0914557F" w14:textId="16575BB8"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0.01</w:t>
            </w:r>
          </w:p>
        </w:tc>
      </w:tr>
      <w:tr w:rsidR="00B76D75" w14:paraId="3B69CF44"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8F73249"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7</w:t>
            </w:r>
          </w:p>
        </w:tc>
        <w:tc>
          <w:tcPr>
            <w:tcW w:w="1445" w:type="dxa"/>
            <w:tcBorders>
              <w:top w:val="single" w:sz="8" w:space="0" w:color="000000"/>
              <w:left w:val="single" w:sz="8" w:space="0" w:color="000000"/>
              <w:bottom w:val="single" w:sz="8" w:space="0" w:color="000000"/>
              <w:right w:val="single" w:sz="8" w:space="0" w:color="000000"/>
            </w:tcBorders>
          </w:tcPr>
          <w:p w14:paraId="7E50FEB2" w14:textId="6142D831"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600908</w:t>
            </w:r>
          </w:p>
        </w:tc>
        <w:tc>
          <w:tcPr>
            <w:tcW w:w="1445" w:type="dxa"/>
            <w:tcBorders>
              <w:top w:val="single" w:sz="8" w:space="0" w:color="000000"/>
              <w:left w:val="single" w:sz="8" w:space="0" w:color="000000"/>
              <w:bottom w:val="single" w:sz="8" w:space="0" w:color="000000"/>
              <w:right w:val="single" w:sz="8" w:space="0" w:color="000000"/>
            </w:tcBorders>
          </w:tcPr>
          <w:p w14:paraId="0447ED40" w14:textId="52414CE4"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无锡银行</w:t>
            </w:r>
          </w:p>
        </w:tc>
        <w:tc>
          <w:tcPr>
            <w:tcW w:w="1806" w:type="dxa"/>
            <w:tcBorders>
              <w:top w:val="single" w:sz="8" w:space="0" w:color="000000"/>
              <w:left w:val="single" w:sz="8" w:space="0" w:color="000000"/>
              <w:bottom w:val="single" w:sz="8" w:space="0" w:color="000000"/>
              <w:right w:val="single" w:sz="8" w:space="0" w:color="000000"/>
            </w:tcBorders>
          </w:tcPr>
          <w:p w14:paraId="56656A05" w14:textId="77ABC9D4"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5,477</w:t>
            </w:r>
          </w:p>
        </w:tc>
        <w:tc>
          <w:tcPr>
            <w:tcW w:w="1806" w:type="dxa"/>
            <w:tcBorders>
              <w:top w:val="single" w:sz="8" w:space="0" w:color="000000"/>
              <w:left w:val="single" w:sz="8" w:space="0" w:color="000000"/>
              <w:bottom w:val="single" w:sz="8" w:space="0" w:color="000000"/>
              <w:right w:val="single" w:sz="8" w:space="0" w:color="000000"/>
            </w:tcBorders>
          </w:tcPr>
          <w:p w14:paraId="0BA11D62" w14:textId="5EAEC5BE"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56,796.49</w:t>
            </w:r>
          </w:p>
        </w:tc>
        <w:tc>
          <w:tcPr>
            <w:tcW w:w="1806" w:type="dxa"/>
            <w:tcBorders>
              <w:top w:val="single" w:sz="8" w:space="0" w:color="000000"/>
              <w:left w:val="single" w:sz="8" w:space="0" w:color="000000"/>
              <w:bottom w:val="single" w:sz="8" w:space="0" w:color="000000"/>
              <w:right w:val="single" w:sz="8" w:space="0" w:color="000000"/>
            </w:tcBorders>
          </w:tcPr>
          <w:p w14:paraId="3EF0EABB" w14:textId="78A6DD2E"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0.01</w:t>
            </w:r>
          </w:p>
        </w:tc>
      </w:tr>
      <w:tr w:rsidR="00B76D75" w14:paraId="132C0BA4"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5413A8B"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8</w:t>
            </w:r>
          </w:p>
        </w:tc>
        <w:tc>
          <w:tcPr>
            <w:tcW w:w="1445" w:type="dxa"/>
            <w:tcBorders>
              <w:top w:val="single" w:sz="8" w:space="0" w:color="000000"/>
              <w:left w:val="single" w:sz="8" w:space="0" w:color="000000"/>
              <w:bottom w:val="single" w:sz="8" w:space="0" w:color="000000"/>
              <w:right w:val="single" w:sz="8" w:space="0" w:color="000000"/>
            </w:tcBorders>
          </w:tcPr>
          <w:p w14:paraId="126FD458" w14:textId="361D685B"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002815</w:t>
            </w:r>
          </w:p>
        </w:tc>
        <w:tc>
          <w:tcPr>
            <w:tcW w:w="1445" w:type="dxa"/>
            <w:tcBorders>
              <w:top w:val="single" w:sz="8" w:space="0" w:color="000000"/>
              <w:left w:val="single" w:sz="8" w:space="0" w:color="000000"/>
              <w:bottom w:val="single" w:sz="8" w:space="0" w:color="000000"/>
              <w:right w:val="single" w:sz="8" w:space="0" w:color="000000"/>
            </w:tcBorders>
          </w:tcPr>
          <w:p w14:paraId="6731F262" w14:textId="2D68597A"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崇达技术</w:t>
            </w:r>
          </w:p>
        </w:tc>
        <w:tc>
          <w:tcPr>
            <w:tcW w:w="1806" w:type="dxa"/>
            <w:tcBorders>
              <w:top w:val="single" w:sz="8" w:space="0" w:color="000000"/>
              <w:left w:val="single" w:sz="8" w:space="0" w:color="000000"/>
              <w:bottom w:val="single" w:sz="8" w:space="0" w:color="000000"/>
              <w:right w:val="single" w:sz="8" w:space="0" w:color="000000"/>
            </w:tcBorders>
          </w:tcPr>
          <w:p w14:paraId="022C7F35" w14:textId="2B5659F9"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3,443</w:t>
            </w:r>
          </w:p>
        </w:tc>
        <w:tc>
          <w:tcPr>
            <w:tcW w:w="1806" w:type="dxa"/>
            <w:tcBorders>
              <w:top w:val="single" w:sz="8" w:space="0" w:color="000000"/>
              <w:left w:val="single" w:sz="8" w:space="0" w:color="000000"/>
              <w:bottom w:val="single" w:sz="8" w:space="0" w:color="000000"/>
              <w:right w:val="single" w:sz="8" w:space="0" w:color="000000"/>
            </w:tcBorders>
          </w:tcPr>
          <w:p w14:paraId="0018D36C" w14:textId="1BE33A39"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56,155.33</w:t>
            </w:r>
          </w:p>
        </w:tc>
        <w:tc>
          <w:tcPr>
            <w:tcW w:w="1806" w:type="dxa"/>
            <w:tcBorders>
              <w:top w:val="single" w:sz="8" w:space="0" w:color="000000"/>
              <w:left w:val="single" w:sz="8" w:space="0" w:color="000000"/>
              <w:bottom w:val="single" w:sz="8" w:space="0" w:color="000000"/>
              <w:right w:val="single" w:sz="8" w:space="0" w:color="000000"/>
            </w:tcBorders>
          </w:tcPr>
          <w:p w14:paraId="53738E6F" w14:textId="09AC650C"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0.01</w:t>
            </w:r>
          </w:p>
        </w:tc>
      </w:tr>
      <w:tr w:rsidR="00B76D75" w14:paraId="0102EA8E"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BC75AE3"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9</w:t>
            </w:r>
          </w:p>
        </w:tc>
        <w:tc>
          <w:tcPr>
            <w:tcW w:w="1445" w:type="dxa"/>
            <w:tcBorders>
              <w:top w:val="single" w:sz="8" w:space="0" w:color="000000"/>
              <w:left w:val="single" w:sz="8" w:space="0" w:color="000000"/>
              <w:bottom w:val="single" w:sz="8" w:space="0" w:color="000000"/>
              <w:right w:val="single" w:sz="8" w:space="0" w:color="000000"/>
            </w:tcBorders>
          </w:tcPr>
          <w:p w14:paraId="49F674CE" w14:textId="504892A3"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603777</w:t>
            </w:r>
          </w:p>
        </w:tc>
        <w:tc>
          <w:tcPr>
            <w:tcW w:w="1445" w:type="dxa"/>
            <w:tcBorders>
              <w:top w:val="single" w:sz="8" w:space="0" w:color="000000"/>
              <w:left w:val="single" w:sz="8" w:space="0" w:color="000000"/>
              <w:bottom w:val="single" w:sz="8" w:space="0" w:color="000000"/>
              <w:right w:val="single" w:sz="8" w:space="0" w:color="000000"/>
            </w:tcBorders>
          </w:tcPr>
          <w:p w14:paraId="0EEBE179" w14:textId="0CE24100"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来伊份</w:t>
            </w:r>
          </w:p>
        </w:tc>
        <w:tc>
          <w:tcPr>
            <w:tcW w:w="1806" w:type="dxa"/>
            <w:tcBorders>
              <w:top w:val="single" w:sz="8" w:space="0" w:color="000000"/>
              <w:left w:val="single" w:sz="8" w:space="0" w:color="000000"/>
              <w:bottom w:val="single" w:sz="8" w:space="0" w:color="000000"/>
              <w:right w:val="single" w:sz="8" w:space="0" w:color="000000"/>
            </w:tcBorders>
          </w:tcPr>
          <w:p w14:paraId="0A35A23F" w14:textId="7868E48F"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4,057</w:t>
            </w:r>
          </w:p>
        </w:tc>
        <w:tc>
          <w:tcPr>
            <w:tcW w:w="1806" w:type="dxa"/>
            <w:tcBorders>
              <w:top w:val="single" w:sz="8" w:space="0" w:color="000000"/>
              <w:left w:val="single" w:sz="8" w:space="0" w:color="000000"/>
              <w:bottom w:val="single" w:sz="8" w:space="0" w:color="000000"/>
              <w:right w:val="single" w:sz="8" w:space="0" w:color="000000"/>
            </w:tcBorders>
          </w:tcPr>
          <w:p w14:paraId="469E02B5" w14:textId="26954693"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47,345.19</w:t>
            </w:r>
          </w:p>
        </w:tc>
        <w:tc>
          <w:tcPr>
            <w:tcW w:w="1806" w:type="dxa"/>
            <w:tcBorders>
              <w:top w:val="single" w:sz="8" w:space="0" w:color="000000"/>
              <w:left w:val="single" w:sz="8" w:space="0" w:color="000000"/>
              <w:bottom w:val="single" w:sz="8" w:space="0" w:color="000000"/>
              <w:right w:val="single" w:sz="8" w:space="0" w:color="000000"/>
            </w:tcBorders>
          </w:tcPr>
          <w:p w14:paraId="36DABFF5" w14:textId="5DD051C8"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0.01</w:t>
            </w:r>
          </w:p>
        </w:tc>
      </w:tr>
      <w:tr w:rsidR="00B76D75" w14:paraId="76F6CB1D"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7ED072D" w14:textId="77777777"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Pr>
                <w:rFonts w:ascii="宋体"/>
                <w:color w:val="000000"/>
                <w:kern w:val="0"/>
                <w:sz w:val="24"/>
                <w:szCs w:val="24"/>
              </w:rPr>
              <w:t>10</w:t>
            </w:r>
          </w:p>
        </w:tc>
        <w:tc>
          <w:tcPr>
            <w:tcW w:w="1445" w:type="dxa"/>
            <w:tcBorders>
              <w:top w:val="single" w:sz="8" w:space="0" w:color="000000"/>
              <w:left w:val="single" w:sz="8" w:space="0" w:color="000000"/>
              <w:bottom w:val="single" w:sz="8" w:space="0" w:color="000000"/>
              <w:right w:val="single" w:sz="8" w:space="0" w:color="000000"/>
            </w:tcBorders>
          </w:tcPr>
          <w:p w14:paraId="0B392F08" w14:textId="38FFF3C2"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300548</w:t>
            </w:r>
          </w:p>
        </w:tc>
        <w:tc>
          <w:tcPr>
            <w:tcW w:w="1445" w:type="dxa"/>
            <w:tcBorders>
              <w:top w:val="single" w:sz="8" w:space="0" w:color="000000"/>
              <w:left w:val="single" w:sz="8" w:space="0" w:color="000000"/>
              <w:bottom w:val="single" w:sz="8" w:space="0" w:color="000000"/>
              <w:right w:val="single" w:sz="8" w:space="0" w:color="000000"/>
            </w:tcBorders>
          </w:tcPr>
          <w:p w14:paraId="2BCDF124" w14:textId="33AA9F46" w:rsidR="00B76D75" w:rsidRDefault="00B76D75" w:rsidP="00B76D75">
            <w:pPr>
              <w:autoSpaceDE w:val="0"/>
              <w:autoSpaceDN w:val="0"/>
              <w:adjustRightInd w:val="0"/>
              <w:spacing w:before="29" w:line="288" w:lineRule="auto"/>
              <w:ind w:left="15"/>
              <w:jc w:val="center"/>
              <w:rPr>
                <w:rFonts w:ascii="宋体"/>
                <w:color w:val="000000"/>
                <w:kern w:val="0"/>
                <w:sz w:val="24"/>
                <w:szCs w:val="24"/>
              </w:rPr>
            </w:pPr>
            <w:r w:rsidRPr="007014B1">
              <w:rPr>
                <w:rFonts w:hint="eastAsia"/>
              </w:rPr>
              <w:t>博创科技</w:t>
            </w:r>
          </w:p>
        </w:tc>
        <w:tc>
          <w:tcPr>
            <w:tcW w:w="1806" w:type="dxa"/>
            <w:tcBorders>
              <w:top w:val="single" w:sz="8" w:space="0" w:color="000000"/>
              <w:left w:val="single" w:sz="8" w:space="0" w:color="000000"/>
              <w:bottom w:val="single" w:sz="8" w:space="0" w:color="000000"/>
              <w:right w:val="single" w:sz="8" w:space="0" w:color="000000"/>
            </w:tcBorders>
          </w:tcPr>
          <w:p w14:paraId="16A8C481" w14:textId="14064D08"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3,027</w:t>
            </w:r>
          </w:p>
        </w:tc>
        <w:tc>
          <w:tcPr>
            <w:tcW w:w="1806" w:type="dxa"/>
            <w:tcBorders>
              <w:top w:val="single" w:sz="8" w:space="0" w:color="000000"/>
              <w:left w:val="single" w:sz="8" w:space="0" w:color="000000"/>
              <w:bottom w:val="single" w:sz="8" w:space="0" w:color="000000"/>
              <w:right w:val="single" w:sz="8" w:space="0" w:color="000000"/>
            </w:tcBorders>
          </w:tcPr>
          <w:p w14:paraId="638734D8" w14:textId="558CDC71"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35,567.25</w:t>
            </w:r>
          </w:p>
        </w:tc>
        <w:tc>
          <w:tcPr>
            <w:tcW w:w="1806" w:type="dxa"/>
            <w:tcBorders>
              <w:top w:val="single" w:sz="8" w:space="0" w:color="000000"/>
              <w:left w:val="single" w:sz="8" w:space="0" w:color="000000"/>
              <w:bottom w:val="single" w:sz="8" w:space="0" w:color="000000"/>
              <w:right w:val="single" w:sz="8" w:space="0" w:color="000000"/>
            </w:tcBorders>
          </w:tcPr>
          <w:p w14:paraId="55033435" w14:textId="2E25A6F8" w:rsidR="00B76D75" w:rsidRDefault="00B76D75" w:rsidP="00B76D75">
            <w:pPr>
              <w:autoSpaceDE w:val="0"/>
              <w:autoSpaceDN w:val="0"/>
              <w:adjustRightInd w:val="0"/>
              <w:spacing w:before="29" w:line="288" w:lineRule="auto"/>
              <w:ind w:left="15"/>
              <w:jc w:val="right"/>
              <w:rPr>
                <w:color w:val="000000"/>
                <w:kern w:val="0"/>
                <w:sz w:val="24"/>
                <w:szCs w:val="24"/>
              </w:rPr>
            </w:pPr>
            <w:r w:rsidRPr="007014B1">
              <w:rPr>
                <w:rFonts w:hint="eastAsia"/>
              </w:rPr>
              <w:t>0.00</w:t>
            </w:r>
          </w:p>
        </w:tc>
      </w:tr>
    </w:tbl>
    <w:p w14:paraId="74DB0D05" w14:textId="77777777" w:rsidR="00C00DE9" w:rsidRPr="002120AF" w:rsidRDefault="00C00DE9" w:rsidP="00C00DE9">
      <w:pPr>
        <w:spacing w:before="50" w:line="360" w:lineRule="auto"/>
        <w:ind w:firstLine="420"/>
        <w:rPr>
          <w:szCs w:val="24"/>
        </w:rPr>
      </w:pPr>
      <w:r w:rsidRPr="00C6511B">
        <w:rPr>
          <w:rFonts w:ascii="宋体" w:hAnsi="宋体"/>
          <w:bCs/>
          <w:color w:val="000000"/>
          <w:sz w:val="24"/>
          <w:szCs w:val="24"/>
        </w:rPr>
        <w:t>4、报告期末按债券品种分类的债券投资组合</w:t>
      </w:r>
    </w:p>
    <w:tbl>
      <w:tblPr>
        <w:tblW w:w="9030" w:type="dxa"/>
        <w:tblInd w:w="108" w:type="dxa"/>
        <w:tblLayout w:type="fixed"/>
        <w:tblLook w:val="0000" w:firstRow="0" w:lastRow="0" w:firstColumn="0" w:lastColumn="0" w:noHBand="0" w:noVBand="0"/>
      </w:tblPr>
      <w:tblGrid>
        <w:gridCol w:w="722"/>
        <w:gridCol w:w="3612"/>
        <w:gridCol w:w="2529"/>
        <w:gridCol w:w="2167"/>
      </w:tblGrid>
      <w:tr w:rsidR="00C00DE9" w:rsidRPr="00F60BEC" w14:paraId="2342AB90"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28F71D4"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序号</w:t>
            </w:r>
          </w:p>
        </w:tc>
        <w:tc>
          <w:tcPr>
            <w:tcW w:w="3612" w:type="dxa"/>
            <w:tcBorders>
              <w:top w:val="single" w:sz="8" w:space="0" w:color="000000"/>
              <w:left w:val="single" w:sz="8" w:space="0" w:color="000000"/>
              <w:bottom w:val="single" w:sz="8" w:space="0" w:color="000000"/>
              <w:right w:val="single" w:sz="8" w:space="0" w:color="000000"/>
            </w:tcBorders>
            <w:vAlign w:val="center"/>
          </w:tcPr>
          <w:p w14:paraId="240E92FB"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债券品种</w:t>
            </w:r>
          </w:p>
        </w:tc>
        <w:tc>
          <w:tcPr>
            <w:tcW w:w="2529" w:type="dxa"/>
            <w:tcBorders>
              <w:top w:val="single" w:sz="8" w:space="0" w:color="000000"/>
              <w:left w:val="single" w:sz="8" w:space="0" w:color="000000"/>
              <w:bottom w:val="single" w:sz="8" w:space="0" w:color="000000"/>
              <w:right w:val="single" w:sz="8" w:space="0" w:color="000000"/>
            </w:tcBorders>
            <w:vAlign w:val="center"/>
          </w:tcPr>
          <w:p w14:paraId="5E296D2A"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公允价值</w:t>
            </w:r>
          </w:p>
        </w:tc>
        <w:tc>
          <w:tcPr>
            <w:tcW w:w="2167" w:type="dxa"/>
            <w:tcBorders>
              <w:top w:val="single" w:sz="8" w:space="0" w:color="000000"/>
              <w:left w:val="single" w:sz="8" w:space="0" w:color="000000"/>
              <w:bottom w:val="single" w:sz="8" w:space="0" w:color="000000"/>
              <w:right w:val="single" w:sz="8" w:space="0" w:color="000000"/>
            </w:tcBorders>
            <w:vAlign w:val="center"/>
          </w:tcPr>
          <w:p w14:paraId="764DD71F"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占基金资产净值比例（％）</w:t>
            </w:r>
          </w:p>
        </w:tc>
      </w:tr>
      <w:tr w:rsidR="00B76D75" w:rsidRPr="00F60BEC" w14:paraId="27EE9C47"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4FBC6AFC"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lastRenderedPageBreak/>
              <w:t>1</w:t>
            </w:r>
          </w:p>
        </w:tc>
        <w:tc>
          <w:tcPr>
            <w:tcW w:w="3612" w:type="dxa"/>
            <w:tcBorders>
              <w:top w:val="single" w:sz="8" w:space="0" w:color="000000"/>
              <w:left w:val="single" w:sz="8" w:space="0" w:color="000000"/>
              <w:bottom w:val="single" w:sz="8" w:space="0" w:color="000000"/>
              <w:right w:val="single" w:sz="8" w:space="0" w:color="000000"/>
            </w:tcBorders>
            <w:vAlign w:val="center"/>
          </w:tcPr>
          <w:p w14:paraId="0A611DD1"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国家债券</w:t>
            </w:r>
          </w:p>
        </w:tc>
        <w:tc>
          <w:tcPr>
            <w:tcW w:w="2529" w:type="dxa"/>
            <w:tcBorders>
              <w:top w:val="single" w:sz="8" w:space="0" w:color="000000"/>
              <w:left w:val="single" w:sz="8" w:space="0" w:color="000000"/>
              <w:bottom w:val="single" w:sz="8" w:space="0" w:color="000000"/>
              <w:right w:val="single" w:sz="8" w:space="0" w:color="000000"/>
            </w:tcBorders>
          </w:tcPr>
          <w:p w14:paraId="4AC18D5A" w14:textId="725CED4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w:t>
            </w:r>
          </w:p>
        </w:tc>
        <w:tc>
          <w:tcPr>
            <w:tcW w:w="2167" w:type="dxa"/>
            <w:tcBorders>
              <w:top w:val="single" w:sz="8" w:space="0" w:color="000000"/>
              <w:left w:val="single" w:sz="8" w:space="0" w:color="000000"/>
              <w:bottom w:val="single" w:sz="8" w:space="0" w:color="000000"/>
              <w:right w:val="single" w:sz="8" w:space="0" w:color="000000"/>
            </w:tcBorders>
          </w:tcPr>
          <w:p w14:paraId="7E5898E6" w14:textId="15C62A70"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w:t>
            </w:r>
          </w:p>
        </w:tc>
      </w:tr>
      <w:tr w:rsidR="00B76D75" w:rsidRPr="00F60BEC" w14:paraId="5508074D"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7EE18DA"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2</w:t>
            </w:r>
          </w:p>
        </w:tc>
        <w:tc>
          <w:tcPr>
            <w:tcW w:w="3612" w:type="dxa"/>
            <w:tcBorders>
              <w:top w:val="single" w:sz="8" w:space="0" w:color="000000"/>
              <w:left w:val="single" w:sz="8" w:space="0" w:color="000000"/>
              <w:bottom w:val="single" w:sz="8" w:space="0" w:color="000000"/>
              <w:right w:val="single" w:sz="8" w:space="0" w:color="000000"/>
            </w:tcBorders>
            <w:vAlign w:val="center"/>
          </w:tcPr>
          <w:p w14:paraId="543C1A7E"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央行票据</w:t>
            </w:r>
          </w:p>
        </w:tc>
        <w:tc>
          <w:tcPr>
            <w:tcW w:w="2529" w:type="dxa"/>
            <w:tcBorders>
              <w:top w:val="single" w:sz="8" w:space="0" w:color="000000"/>
              <w:left w:val="single" w:sz="8" w:space="0" w:color="000000"/>
              <w:bottom w:val="single" w:sz="8" w:space="0" w:color="000000"/>
              <w:right w:val="single" w:sz="8" w:space="0" w:color="000000"/>
            </w:tcBorders>
          </w:tcPr>
          <w:p w14:paraId="20D12F90" w14:textId="1187DA6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w:t>
            </w:r>
          </w:p>
        </w:tc>
        <w:tc>
          <w:tcPr>
            <w:tcW w:w="2167" w:type="dxa"/>
            <w:tcBorders>
              <w:top w:val="single" w:sz="8" w:space="0" w:color="000000"/>
              <w:left w:val="single" w:sz="8" w:space="0" w:color="000000"/>
              <w:bottom w:val="single" w:sz="8" w:space="0" w:color="000000"/>
              <w:right w:val="single" w:sz="8" w:space="0" w:color="000000"/>
            </w:tcBorders>
          </w:tcPr>
          <w:p w14:paraId="141A6E59" w14:textId="50BA6FCD"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w:t>
            </w:r>
          </w:p>
        </w:tc>
      </w:tr>
      <w:tr w:rsidR="00B76D75" w:rsidRPr="00F60BEC" w14:paraId="2B43EE49"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00CECF1"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3</w:t>
            </w:r>
          </w:p>
        </w:tc>
        <w:tc>
          <w:tcPr>
            <w:tcW w:w="3612" w:type="dxa"/>
            <w:tcBorders>
              <w:top w:val="single" w:sz="8" w:space="0" w:color="000000"/>
              <w:left w:val="single" w:sz="8" w:space="0" w:color="000000"/>
              <w:bottom w:val="single" w:sz="8" w:space="0" w:color="000000"/>
              <w:right w:val="single" w:sz="8" w:space="0" w:color="000000"/>
            </w:tcBorders>
            <w:vAlign w:val="center"/>
          </w:tcPr>
          <w:p w14:paraId="7AEA9677"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金融债券</w:t>
            </w:r>
          </w:p>
        </w:tc>
        <w:tc>
          <w:tcPr>
            <w:tcW w:w="2529" w:type="dxa"/>
            <w:tcBorders>
              <w:top w:val="single" w:sz="8" w:space="0" w:color="000000"/>
              <w:left w:val="single" w:sz="8" w:space="0" w:color="000000"/>
              <w:bottom w:val="single" w:sz="8" w:space="0" w:color="000000"/>
              <w:right w:val="single" w:sz="8" w:space="0" w:color="000000"/>
            </w:tcBorders>
          </w:tcPr>
          <w:p w14:paraId="149B46EC" w14:textId="4C3A19B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60,180,000.00</w:t>
            </w:r>
          </w:p>
        </w:tc>
        <w:tc>
          <w:tcPr>
            <w:tcW w:w="2167" w:type="dxa"/>
            <w:tcBorders>
              <w:top w:val="single" w:sz="8" w:space="0" w:color="000000"/>
              <w:left w:val="single" w:sz="8" w:space="0" w:color="000000"/>
              <w:bottom w:val="single" w:sz="8" w:space="0" w:color="000000"/>
              <w:right w:val="single" w:sz="8" w:space="0" w:color="000000"/>
            </w:tcBorders>
          </w:tcPr>
          <w:p w14:paraId="23FC9098" w14:textId="54C751C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7.51</w:t>
            </w:r>
          </w:p>
        </w:tc>
      </w:tr>
      <w:tr w:rsidR="00B76D75" w:rsidRPr="00F60BEC" w14:paraId="00B3785B"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81942E7" w14:textId="77777777" w:rsidR="00B76D75" w:rsidRPr="00F60BEC" w:rsidRDefault="00B76D75" w:rsidP="00B76D75">
            <w:pPr>
              <w:autoSpaceDE w:val="0"/>
              <w:autoSpaceDN w:val="0"/>
              <w:adjustRightInd w:val="0"/>
              <w:spacing w:line="288" w:lineRule="auto"/>
              <w:jc w:val="center"/>
              <w:rPr>
                <w:rFonts w:asciiTheme="minorEastAsia" w:hAnsiTheme="minorEastAsia"/>
                <w:color w:val="000000"/>
                <w:kern w:val="0"/>
                <w:sz w:val="24"/>
                <w:szCs w:val="24"/>
              </w:rPr>
            </w:pPr>
          </w:p>
        </w:tc>
        <w:tc>
          <w:tcPr>
            <w:tcW w:w="3612" w:type="dxa"/>
            <w:tcBorders>
              <w:top w:val="single" w:sz="8" w:space="0" w:color="000000"/>
              <w:left w:val="single" w:sz="8" w:space="0" w:color="000000"/>
              <w:bottom w:val="single" w:sz="8" w:space="0" w:color="000000"/>
              <w:right w:val="single" w:sz="8" w:space="0" w:color="000000"/>
            </w:tcBorders>
            <w:vAlign w:val="center"/>
          </w:tcPr>
          <w:p w14:paraId="2C2896B3"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其中：政策性金融债</w:t>
            </w:r>
          </w:p>
        </w:tc>
        <w:tc>
          <w:tcPr>
            <w:tcW w:w="2529" w:type="dxa"/>
            <w:tcBorders>
              <w:top w:val="single" w:sz="8" w:space="0" w:color="000000"/>
              <w:left w:val="single" w:sz="8" w:space="0" w:color="000000"/>
              <w:bottom w:val="single" w:sz="8" w:space="0" w:color="000000"/>
              <w:right w:val="single" w:sz="8" w:space="0" w:color="000000"/>
            </w:tcBorders>
          </w:tcPr>
          <w:p w14:paraId="2C2A1164" w14:textId="7360964D"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60,180,000.00</w:t>
            </w:r>
          </w:p>
        </w:tc>
        <w:tc>
          <w:tcPr>
            <w:tcW w:w="2167" w:type="dxa"/>
            <w:tcBorders>
              <w:top w:val="single" w:sz="8" w:space="0" w:color="000000"/>
              <w:left w:val="single" w:sz="8" w:space="0" w:color="000000"/>
              <w:bottom w:val="single" w:sz="8" w:space="0" w:color="000000"/>
              <w:right w:val="single" w:sz="8" w:space="0" w:color="000000"/>
            </w:tcBorders>
          </w:tcPr>
          <w:p w14:paraId="64EA044A" w14:textId="6330A495"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7.51</w:t>
            </w:r>
          </w:p>
        </w:tc>
      </w:tr>
      <w:tr w:rsidR="00B76D75" w:rsidRPr="00F60BEC" w14:paraId="65061A92"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01CFD00"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4</w:t>
            </w:r>
          </w:p>
        </w:tc>
        <w:tc>
          <w:tcPr>
            <w:tcW w:w="3612" w:type="dxa"/>
            <w:tcBorders>
              <w:top w:val="single" w:sz="8" w:space="0" w:color="000000"/>
              <w:left w:val="single" w:sz="8" w:space="0" w:color="000000"/>
              <w:bottom w:val="single" w:sz="8" w:space="0" w:color="000000"/>
              <w:right w:val="single" w:sz="8" w:space="0" w:color="000000"/>
            </w:tcBorders>
            <w:vAlign w:val="center"/>
          </w:tcPr>
          <w:p w14:paraId="7322967B"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企业债券</w:t>
            </w:r>
          </w:p>
        </w:tc>
        <w:tc>
          <w:tcPr>
            <w:tcW w:w="2529" w:type="dxa"/>
            <w:tcBorders>
              <w:top w:val="single" w:sz="8" w:space="0" w:color="000000"/>
              <w:left w:val="single" w:sz="8" w:space="0" w:color="000000"/>
              <w:bottom w:val="single" w:sz="8" w:space="0" w:color="000000"/>
              <w:right w:val="single" w:sz="8" w:space="0" w:color="000000"/>
            </w:tcBorders>
          </w:tcPr>
          <w:p w14:paraId="10F3DBD7" w14:textId="56A1309E"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211,921,576.40</w:t>
            </w:r>
          </w:p>
        </w:tc>
        <w:tc>
          <w:tcPr>
            <w:tcW w:w="2167" w:type="dxa"/>
            <w:tcBorders>
              <w:top w:val="single" w:sz="8" w:space="0" w:color="000000"/>
              <w:left w:val="single" w:sz="8" w:space="0" w:color="000000"/>
              <w:bottom w:val="single" w:sz="8" w:space="0" w:color="000000"/>
              <w:right w:val="single" w:sz="8" w:space="0" w:color="000000"/>
            </w:tcBorders>
          </w:tcPr>
          <w:p w14:paraId="76458B83" w14:textId="39A88238"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26.46</w:t>
            </w:r>
          </w:p>
        </w:tc>
      </w:tr>
      <w:tr w:rsidR="00B76D75" w:rsidRPr="00F60BEC" w14:paraId="3FEFB3B4"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6364827"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5</w:t>
            </w:r>
          </w:p>
        </w:tc>
        <w:tc>
          <w:tcPr>
            <w:tcW w:w="3612" w:type="dxa"/>
            <w:tcBorders>
              <w:top w:val="single" w:sz="8" w:space="0" w:color="000000"/>
              <w:left w:val="single" w:sz="8" w:space="0" w:color="000000"/>
              <w:bottom w:val="single" w:sz="8" w:space="0" w:color="000000"/>
              <w:right w:val="single" w:sz="8" w:space="0" w:color="000000"/>
            </w:tcBorders>
            <w:vAlign w:val="center"/>
          </w:tcPr>
          <w:p w14:paraId="5B7AD656"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企业短期融资券</w:t>
            </w:r>
          </w:p>
        </w:tc>
        <w:tc>
          <w:tcPr>
            <w:tcW w:w="2529" w:type="dxa"/>
            <w:tcBorders>
              <w:top w:val="single" w:sz="8" w:space="0" w:color="000000"/>
              <w:left w:val="single" w:sz="8" w:space="0" w:color="000000"/>
              <w:bottom w:val="single" w:sz="8" w:space="0" w:color="000000"/>
              <w:right w:val="single" w:sz="8" w:space="0" w:color="000000"/>
            </w:tcBorders>
          </w:tcPr>
          <w:p w14:paraId="127D76BD" w14:textId="436A2A2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180,991,000.00</w:t>
            </w:r>
          </w:p>
        </w:tc>
        <w:tc>
          <w:tcPr>
            <w:tcW w:w="2167" w:type="dxa"/>
            <w:tcBorders>
              <w:top w:val="single" w:sz="8" w:space="0" w:color="000000"/>
              <w:left w:val="single" w:sz="8" w:space="0" w:color="000000"/>
              <w:bottom w:val="single" w:sz="8" w:space="0" w:color="000000"/>
              <w:right w:val="single" w:sz="8" w:space="0" w:color="000000"/>
            </w:tcBorders>
          </w:tcPr>
          <w:p w14:paraId="7240EDCD" w14:textId="73EA762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22.60</w:t>
            </w:r>
          </w:p>
        </w:tc>
      </w:tr>
      <w:tr w:rsidR="00B76D75" w:rsidRPr="00F60BEC" w14:paraId="03CA6AF6"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9CDDF53"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6</w:t>
            </w:r>
          </w:p>
        </w:tc>
        <w:tc>
          <w:tcPr>
            <w:tcW w:w="3612" w:type="dxa"/>
            <w:tcBorders>
              <w:top w:val="single" w:sz="8" w:space="0" w:color="000000"/>
              <w:left w:val="single" w:sz="8" w:space="0" w:color="000000"/>
              <w:bottom w:val="single" w:sz="8" w:space="0" w:color="000000"/>
              <w:right w:val="single" w:sz="8" w:space="0" w:color="000000"/>
            </w:tcBorders>
            <w:vAlign w:val="center"/>
          </w:tcPr>
          <w:p w14:paraId="19FD5250"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中期票据</w:t>
            </w:r>
          </w:p>
        </w:tc>
        <w:tc>
          <w:tcPr>
            <w:tcW w:w="2529" w:type="dxa"/>
            <w:tcBorders>
              <w:top w:val="single" w:sz="8" w:space="0" w:color="000000"/>
              <w:left w:val="single" w:sz="8" w:space="0" w:color="000000"/>
              <w:bottom w:val="single" w:sz="8" w:space="0" w:color="000000"/>
              <w:right w:val="single" w:sz="8" w:space="0" w:color="000000"/>
            </w:tcBorders>
          </w:tcPr>
          <w:p w14:paraId="264B94C4" w14:textId="01165441"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101,942,000.00</w:t>
            </w:r>
          </w:p>
        </w:tc>
        <w:tc>
          <w:tcPr>
            <w:tcW w:w="2167" w:type="dxa"/>
            <w:tcBorders>
              <w:top w:val="single" w:sz="8" w:space="0" w:color="000000"/>
              <w:left w:val="single" w:sz="8" w:space="0" w:color="000000"/>
              <w:bottom w:val="single" w:sz="8" w:space="0" w:color="000000"/>
              <w:right w:val="single" w:sz="8" w:space="0" w:color="000000"/>
            </w:tcBorders>
          </w:tcPr>
          <w:p w14:paraId="3C96E48B" w14:textId="4BFEC8B5"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12.73</w:t>
            </w:r>
          </w:p>
        </w:tc>
      </w:tr>
      <w:tr w:rsidR="00B76D75" w:rsidRPr="00F60BEC" w14:paraId="47603BD0"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7761744"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7</w:t>
            </w:r>
          </w:p>
        </w:tc>
        <w:tc>
          <w:tcPr>
            <w:tcW w:w="3612" w:type="dxa"/>
            <w:tcBorders>
              <w:top w:val="single" w:sz="8" w:space="0" w:color="000000"/>
              <w:left w:val="single" w:sz="8" w:space="0" w:color="000000"/>
              <w:bottom w:val="single" w:sz="8" w:space="0" w:color="000000"/>
              <w:right w:val="single" w:sz="8" w:space="0" w:color="000000"/>
            </w:tcBorders>
            <w:vAlign w:val="center"/>
          </w:tcPr>
          <w:p w14:paraId="58675282"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可转债</w:t>
            </w:r>
            <w:r>
              <w:rPr>
                <w:rFonts w:asciiTheme="minorEastAsia" w:hAnsiTheme="minorEastAsia" w:hint="eastAsia"/>
                <w:color w:val="000000"/>
                <w:kern w:val="0"/>
                <w:sz w:val="24"/>
                <w:szCs w:val="24"/>
              </w:rPr>
              <w:t>（</w:t>
            </w:r>
            <w:r>
              <w:rPr>
                <w:rFonts w:asciiTheme="minorEastAsia" w:hAnsiTheme="minorEastAsia"/>
                <w:color w:val="000000"/>
                <w:kern w:val="0"/>
                <w:sz w:val="24"/>
                <w:szCs w:val="24"/>
              </w:rPr>
              <w:t>可交换债）</w:t>
            </w:r>
          </w:p>
        </w:tc>
        <w:tc>
          <w:tcPr>
            <w:tcW w:w="2529" w:type="dxa"/>
            <w:tcBorders>
              <w:top w:val="single" w:sz="8" w:space="0" w:color="000000"/>
              <w:left w:val="single" w:sz="8" w:space="0" w:color="000000"/>
              <w:bottom w:val="single" w:sz="8" w:space="0" w:color="000000"/>
              <w:right w:val="single" w:sz="8" w:space="0" w:color="000000"/>
            </w:tcBorders>
          </w:tcPr>
          <w:p w14:paraId="0ED53805" w14:textId="62F365A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122,930.00</w:t>
            </w:r>
          </w:p>
        </w:tc>
        <w:tc>
          <w:tcPr>
            <w:tcW w:w="2167" w:type="dxa"/>
            <w:tcBorders>
              <w:top w:val="single" w:sz="8" w:space="0" w:color="000000"/>
              <w:left w:val="single" w:sz="8" w:space="0" w:color="000000"/>
              <w:bottom w:val="single" w:sz="8" w:space="0" w:color="000000"/>
              <w:right w:val="single" w:sz="8" w:space="0" w:color="000000"/>
            </w:tcBorders>
          </w:tcPr>
          <w:p w14:paraId="24D2D5C9" w14:textId="6C56EAD4"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0.02</w:t>
            </w:r>
          </w:p>
        </w:tc>
      </w:tr>
      <w:tr w:rsidR="00B76D75" w:rsidRPr="00F60BEC" w14:paraId="3AE5E832"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51E37274"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8</w:t>
            </w:r>
          </w:p>
        </w:tc>
        <w:tc>
          <w:tcPr>
            <w:tcW w:w="3612" w:type="dxa"/>
            <w:tcBorders>
              <w:top w:val="single" w:sz="8" w:space="0" w:color="000000"/>
              <w:left w:val="single" w:sz="8" w:space="0" w:color="000000"/>
              <w:bottom w:val="single" w:sz="8" w:space="0" w:color="000000"/>
              <w:right w:val="single" w:sz="8" w:space="0" w:color="000000"/>
            </w:tcBorders>
            <w:vAlign w:val="center"/>
          </w:tcPr>
          <w:p w14:paraId="1DAAA874"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同业存单</w:t>
            </w:r>
          </w:p>
        </w:tc>
        <w:tc>
          <w:tcPr>
            <w:tcW w:w="2529" w:type="dxa"/>
            <w:tcBorders>
              <w:top w:val="single" w:sz="8" w:space="0" w:color="000000"/>
              <w:left w:val="single" w:sz="8" w:space="0" w:color="000000"/>
              <w:bottom w:val="single" w:sz="8" w:space="0" w:color="000000"/>
              <w:right w:val="single" w:sz="8" w:space="0" w:color="000000"/>
            </w:tcBorders>
          </w:tcPr>
          <w:p w14:paraId="370D3B97" w14:textId="6F9F4C36"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49,655,000.00</w:t>
            </w:r>
          </w:p>
        </w:tc>
        <w:tc>
          <w:tcPr>
            <w:tcW w:w="2167" w:type="dxa"/>
            <w:tcBorders>
              <w:top w:val="single" w:sz="8" w:space="0" w:color="000000"/>
              <w:left w:val="single" w:sz="8" w:space="0" w:color="000000"/>
              <w:bottom w:val="single" w:sz="8" w:space="0" w:color="000000"/>
              <w:right w:val="single" w:sz="8" w:space="0" w:color="000000"/>
            </w:tcBorders>
          </w:tcPr>
          <w:p w14:paraId="11B3D458" w14:textId="03075827"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6.20</w:t>
            </w:r>
          </w:p>
        </w:tc>
      </w:tr>
      <w:tr w:rsidR="00B76D75" w:rsidRPr="00F60BEC" w14:paraId="4FA58E9C"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210990CB"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9</w:t>
            </w:r>
          </w:p>
        </w:tc>
        <w:tc>
          <w:tcPr>
            <w:tcW w:w="3612" w:type="dxa"/>
            <w:tcBorders>
              <w:top w:val="single" w:sz="8" w:space="0" w:color="000000"/>
              <w:left w:val="single" w:sz="8" w:space="0" w:color="000000"/>
              <w:bottom w:val="single" w:sz="8" w:space="0" w:color="000000"/>
              <w:right w:val="single" w:sz="8" w:space="0" w:color="000000"/>
            </w:tcBorders>
            <w:vAlign w:val="center"/>
          </w:tcPr>
          <w:p w14:paraId="0704924B"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其他</w:t>
            </w:r>
          </w:p>
        </w:tc>
        <w:tc>
          <w:tcPr>
            <w:tcW w:w="2529" w:type="dxa"/>
            <w:tcBorders>
              <w:top w:val="single" w:sz="8" w:space="0" w:color="000000"/>
              <w:left w:val="single" w:sz="8" w:space="0" w:color="000000"/>
              <w:bottom w:val="single" w:sz="8" w:space="0" w:color="000000"/>
              <w:right w:val="single" w:sz="8" w:space="0" w:color="000000"/>
            </w:tcBorders>
          </w:tcPr>
          <w:p w14:paraId="556CF2DA" w14:textId="2396E145"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w:t>
            </w:r>
          </w:p>
        </w:tc>
        <w:tc>
          <w:tcPr>
            <w:tcW w:w="2167" w:type="dxa"/>
            <w:tcBorders>
              <w:top w:val="single" w:sz="8" w:space="0" w:color="000000"/>
              <w:left w:val="single" w:sz="8" w:space="0" w:color="000000"/>
              <w:bottom w:val="single" w:sz="8" w:space="0" w:color="000000"/>
              <w:right w:val="single" w:sz="8" w:space="0" w:color="000000"/>
            </w:tcBorders>
          </w:tcPr>
          <w:p w14:paraId="4FAD8A75" w14:textId="12D4EE11"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w:t>
            </w:r>
          </w:p>
        </w:tc>
      </w:tr>
      <w:tr w:rsidR="00B76D75" w:rsidRPr="00F60BEC" w14:paraId="3151E8A8"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1D5CC3ED"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10</w:t>
            </w:r>
          </w:p>
        </w:tc>
        <w:tc>
          <w:tcPr>
            <w:tcW w:w="3612" w:type="dxa"/>
            <w:tcBorders>
              <w:top w:val="single" w:sz="8" w:space="0" w:color="000000"/>
              <w:left w:val="single" w:sz="8" w:space="0" w:color="000000"/>
              <w:bottom w:val="single" w:sz="8" w:space="0" w:color="000000"/>
              <w:right w:val="single" w:sz="8" w:space="0" w:color="000000"/>
            </w:tcBorders>
            <w:vAlign w:val="center"/>
          </w:tcPr>
          <w:p w14:paraId="0AD518FE"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合计</w:t>
            </w:r>
          </w:p>
        </w:tc>
        <w:tc>
          <w:tcPr>
            <w:tcW w:w="2529" w:type="dxa"/>
            <w:tcBorders>
              <w:top w:val="single" w:sz="8" w:space="0" w:color="000000"/>
              <w:left w:val="single" w:sz="8" w:space="0" w:color="000000"/>
              <w:bottom w:val="single" w:sz="8" w:space="0" w:color="000000"/>
              <w:right w:val="single" w:sz="8" w:space="0" w:color="000000"/>
            </w:tcBorders>
          </w:tcPr>
          <w:p w14:paraId="2C2C7D19" w14:textId="444FFDE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604,812,506.40</w:t>
            </w:r>
          </w:p>
        </w:tc>
        <w:tc>
          <w:tcPr>
            <w:tcW w:w="2167" w:type="dxa"/>
            <w:tcBorders>
              <w:top w:val="single" w:sz="8" w:space="0" w:color="000000"/>
              <w:left w:val="single" w:sz="8" w:space="0" w:color="000000"/>
              <w:bottom w:val="single" w:sz="8" w:space="0" w:color="000000"/>
              <w:right w:val="single" w:sz="8" w:space="0" w:color="000000"/>
            </w:tcBorders>
          </w:tcPr>
          <w:p w14:paraId="41C80418" w14:textId="18A3AADA"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566B5A">
              <w:t>75.52</w:t>
            </w:r>
          </w:p>
        </w:tc>
      </w:tr>
    </w:tbl>
    <w:p w14:paraId="2E574A00" w14:textId="77777777" w:rsidR="00C00DE9" w:rsidRPr="002120AF" w:rsidRDefault="00C00DE9" w:rsidP="00C00DE9">
      <w:pPr>
        <w:spacing w:before="50" w:line="360" w:lineRule="auto"/>
        <w:rPr>
          <w:szCs w:val="24"/>
        </w:rPr>
      </w:pPr>
      <w:r w:rsidRPr="00C6511B">
        <w:rPr>
          <w:rFonts w:ascii="宋体" w:hAnsi="宋体"/>
          <w:bCs/>
          <w:color w:val="000000"/>
          <w:sz w:val="24"/>
          <w:szCs w:val="24"/>
        </w:rPr>
        <w:t>5、报告期末按公允价值占基金资产净值比例大小排名的前五名债券投资明细</w:t>
      </w:r>
    </w:p>
    <w:tbl>
      <w:tblPr>
        <w:tblW w:w="9030" w:type="dxa"/>
        <w:tblInd w:w="108" w:type="dxa"/>
        <w:tblLayout w:type="fixed"/>
        <w:tblLook w:val="0000" w:firstRow="0" w:lastRow="0" w:firstColumn="0" w:lastColumn="0" w:noHBand="0" w:noVBand="0"/>
      </w:tblPr>
      <w:tblGrid>
        <w:gridCol w:w="722"/>
        <w:gridCol w:w="1445"/>
        <w:gridCol w:w="1806"/>
        <w:gridCol w:w="1445"/>
        <w:gridCol w:w="1806"/>
        <w:gridCol w:w="1806"/>
      </w:tblGrid>
      <w:tr w:rsidR="00C00DE9" w:rsidRPr="00F60BEC" w14:paraId="2FF58EB3"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65BEBB16"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序号</w:t>
            </w:r>
          </w:p>
        </w:tc>
        <w:tc>
          <w:tcPr>
            <w:tcW w:w="1445" w:type="dxa"/>
            <w:tcBorders>
              <w:top w:val="single" w:sz="8" w:space="0" w:color="000000"/>
              <w:left w:val="single" w:sz="8" w:space="0" w:color="000000"/>
              <w:bottom w:val="single" w:sz="8" w:space="0" w:color="000000"/>
              <w:right w:val="single" w:sz="8" w:space="0" w:color="000000"/>
            </w:tcBorders>
            <w:vAlign w:val="center"/>
          </w:tcPr>
          <w:p w14:paraId="611C3A12"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债券代码</w:t>
            </w:r>
          </w:p>
        </w:tc>
        <w:tc>
          <w:tcPr>
            <w:tcW w:w="1806" w:type="dxa"/>
            <w:tcBorders>
              <w:top w:val="single" w:sz="8" w:space="0" w:color="000000"/>
              <w:left w:val="single" w:sz="8" w:space="0" w:color="000000"/>
              <w:bottom w:val="single" w:sz="8" w:space="0" w:color="000000"/>
              <w:right w:val="single" w:sz="8" w:space="0" w:color="000000"/>
            </w:tcBorders>
            <w:vAlign w:val="center"/>
          </w:tcPr>
          <w:p w14:paraId="12ECA0C7"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债券名称</w:t>
            </w:r>
          </w:p>
        </w:tc>
        <w:tc>
          <w:tcPr>
            <w:tcW w:w="1445" w:type="dxa"/>
            <w:tcBorders>
              <w:top w:val="single" w:sz="8" w:space="0" w:color="000000"/>
              <w:left w:val="single" w:sz="8" w:space="0" w:color="000000"/>
              <w:bottom w:val="single" w:sz="8" w:space="0" w:color="000000"/>
              <w:right w:val="single" w:sz="8" w:space="0" w:color="000000"/>
            </w:tcBorders>
            <w:vAlign w:val="center"/>
          </w:tcPr>
          <w:p w14:paraId="1AE0BCC6"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数量（张）</w:t>
            </w:r>
          </w:p>
        </w:tc>
        <w:tc>
          <w:tcPr>
            <w:tcW w:w="1806" w:type="dxa"/>
            <w:tcBorders>
              <w:top w:val="single" w:sz="8" w:space="0" w:color="000000"/>
              <w:left w:val="single" w:sz="8" w:space="0" w:color="000000"/>
              <w:bottom w:val="single" w:sz="8" w:space="0" w:color="000000"/>
              <w:right w:val="single" w:sz="8" w:space="0" w:color="000000"/>
            </w:tcBorders>
            <w:vAlign w:val="center"/>
          </w:tcPr>
          <w:p w14:paraId="3AB6C089"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公允价值</w:t>
            </w:r>
          </w:p>
        </w:tc>
        <w:tc>
          <w:tcPr>
            <w:tcW w:w="1806" w:type="dxa"/>
            <w:tcBorders>
              <w:top w:val="single" w:sz="8" w:space="0" w:color="000000"/>
              <w:left w:val="single" w:sz="8" w:space="0" w:color="000000"/>
              <w:bottom w:val="single" w:sz="8" w:space="0" w:color="000000"/>
              <w:right w:val="single" w:sz="8" w:space="0" w:color="000000"/>
            </w:tcBorders>
            <w:vAlign w:val="center"/>
          </w:tcPr>
          <w:p w14:paraId="100521FD"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占基金资产净值比例（％）</w:t>
            </w:r>
          </w:p>
        </w:tc>
      </w:tr>
      <w:tr w:rsidR="00B76D75" w:rsidRPr="00F60BEC" w14:paraId="694DDBE4" w14:textId="77777777" w:rsidTr="00725F28">
        <w:tc>
          <w:tcPr>
            <w:tcW w:w="722" w:type="dxa"/>
            <w:tcBorders>
              <w:top w:val="single" w:sz="8" w:space="0" w:color="000000"/>
              <w:left w:val="single" w:sz="8" w:space="0" w:color="000000"/>
              <w:bottom w:val="single" w:sz="8" w:space="0" w:color="000000"/>
              <w:right w:val="single" w:sz="8" w:space="0" w:color="000000"/>
            </w:tcBorders>
            <w:vAlign w:val="center"/>
          </w:tcPr>
          <w:p w14:paraId="7A702DCF"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1</w:t>
            </w:r>
          </w:p>
        </w:tc>
        <w:tc>
          <w:tcPr>
            <w:tcW w:w="1445" w:type="dxa"/>
            <w:tcBorders>
              <w:top w:val="single" w:sz="8" w:space="0" w:color="000000"/>
              <w:left w:val="single" w:sz="8" w:space="0" w:color="000000"/>
              <w:bottom w:val="single" w:sz="8" w:space="0" w:color="000000"/>
              <w:right w:val="single" w:sz="8" w:space="0" w:color="000000"/>
            </w:tcBorders>
          </w:tcPr>
          <w:p w14:paraId="3C9A54A9" w14:textId="7E87DA63"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DD0FF6">
              <w:rPr>
                <w:rFonts w:hint="eastAsia"/>
              </w:rPr>
              <w:t>088017</w:t>
            </w:r>
          </w:p>
        </w:tc>
        <w:tc>
          <w:tcPr>
            <w:tcW w:w="1806" w:type="dxa"/>
            <w:tcBorders>
              <w:top w:val="single" w:sz="8" w:space="0" w:color="000000"/>
              <w:left w:val="single" w:sz="8" w:space="0" w:color="000000"/>
              <w:bottom w:val="single" w:sz="8" w:space="0" w:color="000000"/>
              <w:right w:val="single" w:sz="8" w:space="0" w:color="000000"/>
            </w:tcBorders>
          </w:tcPr>
          <w:p w14:paraId="07AEB7FB" w14:textId="7DB9C118"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DD0FF6">
              <w:rPr>
                <w:rFonts w:hint="eastAsia"/>
              </w:rPr>
              <w:t>08</w:t>
            </w:r>
            <w:r w:rsidRPr="00DD0FF6">
              <w:rPr>
                <w:rFonts w:hint="eastAsia"/>
              </w:rPr>
              <w:t>中冶债</w:t>
            </w:r>
          </w:p>
        </w:tc>
        <w:tc>
          <w:tcPr>
            <w:tcW w:w="1445" w:type="dxa"/>
            <w:tcBorders>
              <w:top w:val="single" w:sz="8" w:space="0" w:color="000000"/>
              <w:left w:val="single" w:sz="8" w:space="0" w:color="000000"/>
              <w:bottom w:val="single" w:sz="8" w:space="0" w:color="000000"/>
              <w:right w:val="single" w:sz="8" w:space="0" w:color="000000"/>
            </w:tcBorders>
          </w:tcPr>
          <w:p w14:paraId="54D4D0D4" w14:textId="3D654FC7"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700,000</w:t>
            </w:r>
          </w:p>
        </w:tc>
        <w:tc>
          <w:tcPr>
            <w:tcW w:w="1806" w:type="dxa"/>
            <w:tcBorders>
              <w:top w:val="single" w:sz="8" w:space="0" w:color="000000"/>
              <w:left w:val="single" w:sz="8" w:space="0" w:color="000000"/>
              <w:bottom w:val="single" w:sz="8" w:space="0" w:color="000000"/>
              <w:right w:val="single" w:sz="8" w:space="0" w:color="000000"/>
            </w:tcBorders>
          </w:tcPr>
          <w:p w14:paraId="035C3B26" w14:textId="40ECC208"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73,430,000.00</w:t>
            </w:r>
          </w:p>
        </w:tc>
        <w:tc>
          <w:tcPr>
            <w:tcW w:w="1806" w:type="dxa"/>
            <w:tcBorders>
              <w:top w:val="single" w:sz="8" w:space="0" w:color="000000"/>
              <w:left w:val="single" w:sz="8" w:space="0" w:color="000000"/>
              <w:bottom w:val="single" w:sz="8" w:space="0" w:color="000000"/>
              <w:right w:val="single" w:sz="8" w:space="0" w:color="000000"/>
            </w:tcBorders>
          </w:tcPr>
          <w:p w14:paraId="0455C406" w14:textId="075B2860"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9.17</w:t>
            </w:r>
          </w:p>
        </w:tc>
      </w:tr>
      <w:tr w:rsidR="00B76D75" w:rsidRPr="00F60BEC" w14:paraId="79C54F17" w14:textId="77777777" w:rsidTr="00725F28">
        <w:tc>
          <w:tcPr>
            <w:tcW w:w="722" w:type="dxa"/>
            <w:tcBorders>
              <w:top w:val="single" w:sz="8" w:space="0" w:color="000000"/>
              <w:left w:val="single" w:sz="8" w:space="0" w:color="000000"/>
              <w:bottom w:val="single" w:sz="8" w:space="0" w:color="000000"/>
              <w:right w:val="single" w:sz="8" w:space="0" w:color="000000"/>
            </w:tcBorders>
            <w:vAlign w:val="center"/>
          </w:tcPr>
          <w:p w14:paraId="6AF99F21"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2</w:t>
            </w:r>
          </w:p>
        </w:tc>
        <w:tc>
          <w:tcPr>
            <w:tcW w:w="1445" w:type="dxa"/>
            <w:tcBorders>
              <w:top w:val="single" w:sz="8" w:space="0" w:color="000000"/>
              <w:left w:val="single" w:sz="8" w:space="0" w:color="000000"/>
              <w:bottom w:val="single" w:sz="8" w:space="0" w:color="000000"/>
              <w:right w:val="single" w:sz="8" w:space="0" w:color="000000"/>
            </w:tcBorders>
          </w:tcPr>
          <w:p w14:paraId="055AA503" w14:textId="62B786BB"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DD0FF6">
              <w:rPr>
                <w:rFonts w:hint="eastAsia"/>
              </w:rPr>
              <w:t>101655021</w:t>
            </w:r>
          </w:p>
        </w:tc>
        <w:tc>
          <w:tcPr>
            <w:tcW w:w="1806" w:type="dxa"/>
            <w:tcBorders>
              <w:top w:val="single" w:sz="8" w:space="0" w:color="000000"/>
              <w:left w:val="single" w:sz="8" w:space="0" w:color="000000"/>
              <w:bottom w:val="single" w:sz="8" w:space="0" w:color="000000"/>
              <w:right w:val="single" w:sz="8" w:space="0" w:color="000000"/>
            </w:tcBorders>
          </w:tcPr>
          <w:p w14:paraId="0179067C" w14:textId="533C55C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DD0FF6">
              <w:rPr>
                <w:rFonts w:hint="eastAsia"/>
              </w:rPr>
              <w:t>16</w:t>
            </w:r>
            <w:r w:rsidRPr="00DD0FF6">
              <w:rPr>
                <w:rFonts w:hint="eastAsia"/>
              </w:rPr>
              <w:t>大连万达</w:t>
            </w:r>
            <w:r w:rsidRPr="00DD0FF6">
              <w:rPr>
                <w:rFonts w:hint="eastAsia"/>
              </w:rPr>
              <w:t>MTN003</w:t>
            </w:r>
          </w:p>
        </w:tc>
        <w:tc>
          <w:tcPr>
            <w:tcW w:w="1445" w:type="dxa"/>
            <w:tcBorders>
              <w:top w:val="single" w:sz="8" w:space="0" w:color="000000"/>
              <w:left w:val="single" w:sz="8" w:space="0" w:color="000000"/>
              <w:bottom w:val="single" w:sz="8" w:space="0" w:color="000000"/>
              <w:right w:val="single" w:sz="8" w:space="0" w:color="000000"/>
            </w:tcBorders>
          </w:tcPr>
          <w:p w14:paraId="1AFA84D6" w14:textId="1EB3091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600,000</w:t>
            </w:r>
          </w:p>
        </w:tc>
        <w:tc>
          <w:tcPr>
            <w:tcW w:w="1806" w:type="dxa"/>
            <w:tcBorders>
              <w:top w:val="single" w:sz="8" w:space="0" w:color="000000"/>
              <w:left w:val="single" w:sz="8" w:space="0" w:color="000000"/>
              <w:bottom w:val="single" w:sz="8" w:space="0" w:color="000000"/>
              <w:right w:val="single" w:sz="8" w:space="0" w:color="000000"/>
            </w:tcBorders>
          </w:tcPr>
          <w:p w14:paraId="17C6CBA7" w14:textId="6BF4D3B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60,198,000.00</w:t>
            </w:r>
          </w:p>
        </w:tc>
        <w:tc>
          <w:tcPr>
            <w:tcW w:w="1806" w:type="dxa"/>
            <w:tcBorders>
              <w:top w:val="single" w:sz="8" w:space="0" w:color="000000"/>
              <w:left w:val="single" w:sz="8" w:space="0" w:color="000000"/>
              <w:bottom w:val="single" w:sz="8" w:space="0" w:color="000000"/>
              <w:right w:val="single" w:sz="8" w:space="0" w:color="000000"/>
            </w:tcBorders>
          </w:tcPr>
          <w:p w14:paraId="407F96B4" w14:textId="7F904CE0"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7.52</w:t>
            </w:r>
          </w:p>
        </w:tc>
      </w:tr>
      <w:tr w:rsidR="00B76D75" w:rsidRPr="00F60BEC" w14:paraId="6DFCAC03" w14:textId="77777777" w:rsidTr="00725F28">
        <w:tc>
          <w:tcPr>
            <w:tcW w:w="722" w:type="dxa"/>
            <w:tcBorders>
              <w:top w:val="single" w:sz="8" w:space="0" w:color="000000"/>
              <w:left w:val="single" w:sz="8" w:space="0" w:color="000000"/>
              <w:bottom w:val="single" w:sz="8" w:space="0" w:color="000000"/>
              <w:right w:val="single" w:sz="8" w:space="0" w:color="000000"/>
            </w:tcBorders>
            <w:vAlign w:val="center"/>
          </w:tcPr>
          <w:p w14:paraId="217829D5"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3</w:t>
            </w:r>
          </w:p>
        </w:tc>
        <w:tc>
          <w:tcPr>
            <w:tcW w:w="1445" w:type="dxa"/>
            <w:tcBorders>
              <w:top w:val="single" w:sz="8" w:space="0" w:color="000000"/>
              <w:left w:val="single" w:sz="8" w:space="0" w:color="000000"/>
              <w:bottom w:val="single" w:sz="8" w:space="0" w:color="000000"/>
              <w:right w:val="single" w:sz="8" w:space="0" w:color="000000"/>
            </w:tcBorders>
          </w:tcPr>
          <w:p w14:paraId="19E98941" w14:textId="48577FF5"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DD0FF6">
              <w:rPr>
                <w:rFonts w:hint="eastAsia"/>
              </w:rPr>
              <w:t>011699077</w:t>
            </w:r>
          </w:p>
        </w:tc>
        <w:tc>
          <w:tcPr>
            <w:tcW w:w="1806" w:type="dxa"/>
            <w:tcBorders>
              <w:top w:val="single" w:sz="8" w:space="0" w:color="000000"/>
              <w:left w:val="single" w:sz="8" w:space="0" w:color="000000"/>
              <w:bottom w:val="single" w:sz="8" w:space="0" w:color="000000"/>
              <w:right w:val="single" w:sz="8" w:space="0" w:color="000000"/>
            </w:tcBorders>
          </w:tcPr>
          <w:p w14:paraId="2F4330EC" w14:textId="5E4DA01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DD0FF6">
              <w:rPr>
                <w:rFonts w:hint="eastAsia"/>
              </w:rPr>
              <w:t>16</w:t>
            </w:r>
            <w:r w:rsidRPr="00DD0FF6">
              <w:rPr>
                <w:rFonts w:hint="eastAsia"/>
              </w:rPr>
              <w:t>中外运</w:t>
            </w:r>
            <w:r w:rsidRPr="00DD0FF6">
              <w:rPr>
                <w:rFonts w:hint="eastAsia"/>
              </w:rPr>
              <w:t>SCP001</w:t>
            </w:r>
          </w:p>
        </w:tc>
        <w:tc>
          <w:tcPr>
            <w:tcW w:w="1445" w:type="dxa"/>
            <w:tcBorders>
              <w:top w:val="single" w:sz="8" w:space="0" w:color="000000"/>
              <w:left w:val="single" w:sz="8" w:space="0" w:color="000000"/>
              <w:bottom w:val="single" w:sz="8" w:space="0" w:color="000000"/>
              <w:right w:val="single" w:sz="8" w:space="0" w:color="000000"/>
            </w:tcBorders>
          </w:tcPr>
          <w:p w14:paraId="3FB88AF3" w14:textId="18F3D25A"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500,000</w:t>
            </w:r>
          </w:p>
        </w:tc>
        <w:tc>
          <w:tcPr>
            <w:tcW w:w="1806" w:type="dxa"/>
            <w:tcBorders>
              <w:top w:val="single" w:sz="8" w:space="0" w:color="000000"/>
              <w:left w:val="single" w:sz="8" w:space="0" w:color="000000"/>
              <w:bottom w:val="single" w:sz="8" w:space="0" w:color="000000"/>
              <w:right w:val="single" w:sz="8" w:space="0" w:color="000000"/>
            </w:tcBorders>
          </w:tcPr>
          <w:p w14:paraId="25B7757B" w14:textId="20E29C9F"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50,180,000.00</w:t>
            </w:r>
          </w:p>
        </w:tc>
        <w:tc>
          <w:tcPr>
            <w:tcW w:w="1806" w:type="dxa"/>
            <w:tcBorders>
              <w:top w:val="single" w:sz="8" w:space="0" w:color="000000"/>
              <w:left w:val="single" w:sz="8" w:space="0" w:color="000000"/>
              <w:bottom w:val="single" w:sz="8" w:space="0" w:color="000000"/>
              <w:right w:val="single" w:sz="8" w:space="0" w:color="000000"/>
            </w:tcBorders>
          </w:tcPr>
          <w:p w14:paraId="0A22A410" w14:textId="67AE2F1F"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6.27</w:t>
            </w:r>
          </w:p>
        </w:tc>
      </w:tr>
      <w:tr w:rsidR="00B76D75" w:rsidRPr="00F60BEC" w14:paraId="12C66B95" w14:textId="77777777" w:rsidTr="00725F28">
        <w:tc>
          <w:tcPr>
            <w:tcW w:w="722" w:type="dxa"/>
            <w:tcBorders>
              <w:top w:val="single" w:sz="8" w:space="0" w:color="000000"/>
              <w:left w:val="single" w:sz="8" w:space="0" w:color="000000"/>
              <w:bottom w:val="single" w:sz="8" w:space="0" w:color="000000"/>
              <w:right w:val="single" w:sz="8" w:space="0" w:color="000000"/>
            </w:tcBorders>
            <w:vAlign w:val="center"/>
          </w:tcPr>
          <w:p w14:paraId="115FE3C2"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4</w:t>
            </w:r>
          </w:p>
        </w:tc>
        <w:tc>
          <w:tcPr>
            <w:tcW w:w="1445" w:type="dxa"/>
            <w:tcBorders>
              <w:top w:val="single" w:sz="8" w:space="0" w:color="000000"/>
              <w:left w:val="single" w:sz="8" w:space="0" w:color="000000"/>
              <w:bottom w:val="single" w:sz="8" w:space="0" w:color="000000"/>
              <w:right w:val="single" w:sz="8" w:space="0" w:color="000000"/>
            </w:tcBorders>
          </w:tcPr>
          <w:p w14:paraId="26B135E9" w14:textId="1E31194A"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DD0FF6">
              <w:rPr>
                <w:rFonts w:hint="eastAsia"/>
              </w:rPr>
              <w:t>111611307</w:t>
            </w:r>
          </w:p>
        </w:tc>
        <w:tc>
          <w:tcPr>
            <w:tcW w:w="1806" w:type="dxa"/>
            <w:tcBorders>
              <w:top w:val="single" w:sz="8" w:space="0" w:color="000000"/>
              <w:left w:val="single" w:sz="8" w:space="0" w:color="000000"/>
              <w:bottom w:val="single" w:sz="8" w:space="0" w:color="000000"/>
              <w:right w:val="single" w:sz="8" w:space="0" w:color="000000"/>
            </w:tcBorders>
          </w:tcPr>
          <w:p w14:paraId="776DFA77" w14:textId="6FCCCE42"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DD0FF6">
              <w:rPr>
                <w:rFonts w:hint="eastAsia"/>
              </w:rPr>
              <w:t>16</w:t>
            </w:r>
            <w:r w:rsidRPr="00DD0FF6">
              <w:rPr>
                <w:rFonts w:hint="eastAsia"/>
              </w:rPr>
              <w:t>平安</w:t>
            </w:r>
            <w:r w:rsidRPr="00DD0FF6">
              <w:rPr>
                <w:rFonts w:hint="eastAsia"/>
              </w:rPr>
              <w:t>CD307</w:t>
            </w:r>
          </w:p>
        </w:tc>
        <w:tc>
          <w:tcPr>
            <w:tcW w:w="1445" w:type="dxa"/>
            <w:tcBorders>
              <w:top w:val="single" w:sz="8" w:space="0" w:color="000000"/>
              <w:left w:val="single" w:sz="8" w:space="0" w:color="000000"/>
              <w:bottom w:val="single" w:sz="8" w:space="0" w:color="000000"/>
              <w:right w:val="single" w:sz="8" w:space="0" w:color="000000"/>
            </w:tcBorders>
          </w:tcPr>
          <w:p w14:paraId="512EAABB" w14:textId="01ADFBAD"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500,000</w:t>
            </w:r>
          </w:p>
        </w:tc>
        <w:tc>
          <w:tcPr>
            <w:tcW w:w="1806" w:type="dxa"/>
            <w:tcBorders>
              <w:top w:val="single" w:sz="8" w:space="0" w:color="000000"/>
              <w:left w:val="single" w:sz="8" w:space="0" w:color="000000"/>
              <w:bottom w:val="single" w:sz="8" w:space="0" w:color="000000"/>
              <w:right w:val="single" w:sz="8" w:space="0" w:color="000000"/>
            </w:tcBorders>
          </w:tcPr>
          <w:p w14:paraId="06589962" w14:textId="3B1E2819"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49,655,000.00</w:t>
            </w:r>
          </w:p>
        </w:tc>
        <w:tc>
          <w:tcPr>
            <w:tcW w:w="1806" w:type="dxa"/>
            <w:tcBorders>
              <w:top w:val="single" w:sz="8" w:space="0" w:color="000000"/>
              <w:left w:val="single" w:sz="8" w:space="0" w:color="000000"/>
              <w:bottom w:val="single" w:sz="8" w:space="0" w:color="000000"/>
              <w:right w:val="single" w:sz="8" w:space="0" w:color="000000"/>
            </w:tcBorders>
          </w:tcPr>
          <w:p w14:paraId="10010917" w14:textId="6AA68E4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6.20</w:t>
            </w:r>
          </w:p>
        </w:tc>
      </w:tr>
      <w:tr w:rsidR="00B76D75" w:rsidRPr="00F60BEC" w14:paraId="154B6D30" w14:textId="77777777" w:rsidTr="00725F28">
        <w:tc>
          <w:tcPr>
            <w:tcW w:w="722" w:type="dxa"/>
            <w:tcBorders>
              <w:top w:val="single" w:sz="8" w:space="0" w:color="000000"/>
              <w:left w:val="single" w:sz="8" w:space="0" w:color="000000"/>
              <w:bottom w:val="single" w:sz="8" w:space="0" w:color="000000"/>
              <w:right w:val="single" w:sz="8" w:space="0" w:color="000000"/>
            </w:tcBorders>
            <w:vAlign w:val="center"/>
          </w:tcPr>
          <w:p w14:paraId="6119FDC1"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5</w:t>
            </w:r>
          </w:p>
        </w:tc>
        <w:tc>
          <w:tcPr>
            <w:tcW w:w="1445" w:type="dxa"/>
            <w:tcBorders>
              <w:top w:val="single" w:sz="8" w:space="0" w:color="000000"/>
              <w:left w:val="single" w:sz="8" w:space="0" w:color="000000"/>
              <w:bottom w:val="single" w:sz="8" w:space="0" w:color="000000"/>
              <w:right w:val="single" w:sz="8" w:space="0" w:color="000000"/>
            </w:tcBorders>
          </w:tcPr>
          <w:p w14:paraId="3D28D205" w14:textId="2D6E244D"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DD0FF6">
              <w:rPr>
                <w:rFonts w:hint="eastAsia"/>
              </w:rPr>
              <w:t>1180182</w:t>
            </w:r>
          </w:p>
        </w:tc>
        <w:tc>
          <w:tcPr>
            <w:tcW w:w="1806" w:type="dxa"/>
            <w:tcBorders>
              <w:top w:val="single" w:sz="8" w:space="0" w:color="000000"/>
              <w:left w:val="single" w:sz="8" w:space="0" w:color="000000"/>
              <w:bottom w:val="single" w:sz="8" w:space="0" w:color="000000"/>
              <w:right w:val="single" w:sz="8" w:space="0" w:color="000000"/>
            </w:tcBorders>
          </w:tcPr>
          <w:p w14:paraId="620DDBC9" w14:textId="2BB9EE35"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DD0FF6">
              <w:rPr>
                <w:rFonts w:hint="eastAsia"/>
              </w:rPr>
              <w:t>11</w:t>
            </w:r>
            <w:r w:rsidRPr="00DD0FF6">
              <w:rPr>
                <w:rFonts w:hint="eastAsia"/>
              </w:rPr>
              <w:t>中国泛海债</w:t>
            </w:r>
            <w:r w:rsidRPr="00DD0FF6">
              <w:rPr>
                <w:rFonts w:hint="eastAsia"/>
              </w:rPr>
              <w:t>01</w:t>
            </w:r>
          </w:p>
        </w:tc>
        <w:tc>
          <w:tcPr>
            <w:tcW w:w="1445" w:type="dxa"/>
            <w:tcBorders>
              <w:top w:val="single" w:sz="8" w:space="0" w:color="000000"/>
              <w:left w:val="single" w:sz="8" w:space="0" w:color="000000"/>
              <w:bottom w:val="single" w:sz="8" w:space="0" w:color="000000"/>
              <w:right w:val="single" w:sz="8" w:space="0" w:color="000000"/>
            </w:tcBorders>
          </w:tcPr>
          <w:p w14:paraId="48B5A348" w14:textId="31E8391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400,000</w:t>
            </w:r>
          </w:p>
        </w:tc>
        <w:tc>
          <w:tcPr>
            <w:tcW w:w="1806" w:type="dxa"/>
            <w:tcBorders>
              <w:top w:val="single" w:sz="8" w:space="0" w:color="000000"/>
              <w:left w:val="single" w:sz="8" w:space="0" w:color="000000"/>
              <w:bottom w:val="single" w:sz="8" w:space="0" w:color="000000"/>
              <w:right w:val="single" w:sz="8" w:space="0" w:color="000000"/>
            </w:tcBorders>
          </w:tcPr>
          <w:p w14:paraId="7B45E542" w14:textId="1EBE554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42,764,000.00</w:t>
            </w:r>
          </w:p>
        </w:tc>
        <w:tc>
          <w:tcPr>
            <w:tcW w:w="1806" w:type="dxa"/>
            <w:tcBorders>
              <w:top w:val="single" w:sz="8" w:space="0" w:color="000000"/>
              <w:left w:val="single" w:sz="8" w:space="0" w:color="000000"/>
              <w:bottom w:val="single" w:sz="8" w:space="0" w:color="000000"/>
              <w:right w:val="single" w:sz="8" w:space="0" w:color="000000"/>
            </w:tcBorders>
          </w:tcPr>
          <w:p w14:paraId="43790897" w14:textId="14E00A0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DD0FF6">
              <w:rPr>
                <w:rFonts w:hint="eastAsia"/>
              </w:rPr>
              <w:t>5.34</w:t>
            </w:r>
          </w:p>
        </w:tc>
      </w:tr>
    </w:tbl>
    <w:p w14:paraId="09A8863C"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bCs/>
          <w:color w:val="000000"/>
          <w:sz w:val="24"/>
          <w:szCs w:val="24"/>
        </w:rPr>
        <w:t>6</w:t>
      </w:r>
      <w:r w:rsidRPr="00C6511B">
        <w:rPr>
          <w:rFonts w:ascii="宋体" w:hAnsi="宋体" w:hint="eastAsia"/>
          <w:bCs/>
          <w:color w:val="000000"/>
          <w:sz w:val="24"/>
          <w:szCs w:val="24"/>
        </w:rPr>
        <w:t>、</w:t>
      </w:r>
      <w:r w:rsidRPr="00C6511B">
        <w:rPr>
          <w:rFonts w:ascii="宋体" w:hAnsi="宋体"/>
          <w:bCs/>
          <w:color w:val="000000"/>
          <w:sz w:val="24"/>
          <w:szCs w:val="24"/>
        </w:rPr>
        <w:t>报告期末按公允价值占基金资产净值比例大小排名的前十名资产支持证券投资</w:t>
      </w:r>
      <w:r w:rsidRPr="00C6511B">
        <w:rPr>
          <w:rFonts w:ascii="宋体" w:hAnsi="宋体" w:hint="eastAsia"/>
          <w:bCs/>
          <w:color w:val="000000"/>
          <w:sz w:val="24"/>
          <w:szCs w:val="24"/>
        </w:rPr>
        <w:t>明</w:t>
      </w:r>
      <w:r w:rsidRPr="00C6511B">
        <w:rPr>
          <w:rFonts w:ascii="宋体" w:hAnsi="宋体"/>
          <w:bCs/>
          <w:color w:val="000000"/>
          <w:sz w:val="24"/>
          <w:szCs w:val="24"/>
        </w:rPr>
        <w:t xml:space="preserve">细 </w:t>
      </w:r>
    </w:p>
    <w:p w14:paraId="21325D54"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本基金本报告期期末未持有资产支持证券。</w:t>
      </w:r>
    </w:p>
    <w:p w14:paraId="24331577"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bCs/>
          <w:color w:val="000000"/>
          <w:sz w:val="24"/>
          <w:szCs w:val="24"/>
        </w:rPr>
        <w:t>7、报告期末按公允价值占基金资产净值比例大小排序的前五名贵金属投资明细</w:t>
      </w:r>
    </w:p>
    <w:p w14:paraId="56CB47AD"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本基金本报告期末未持有贵金属。</w:t>
      </w:r>
    </w:p>
    <w:p w14:paraId="4F89A2B2"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bCs/>
          <w:color w:val="000000"/>
          <w:sz w:val="24"/>
          <w:szCs w:val="24"/>
        </w:rPr>
        <w:t>8、报告期末按公允价值占基金资产净值比例大小排名的前五名权证投资明细</w:t>
      </w:r>
    </w:p>
    <w:p w14:paraId="6E336140"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本基金本报告期期末未持有权证。</w:t>
      </w:r>
    </w:p>
    <w:p w14:paraId="4426C53E"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bCs/>
          <w:color w:val="000000"/>
          <w:sz w:val="24"/>
          <w:szCs w:val="24"/>
        </w:rPr>
        <w:t>9、报告期末本基金投资的股指期货交易情况说明</w:t>
      </w:r>
    </w:p>
    <w:p w14:paraId="1E69B211"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lastRenderedPageBreak/>
        <w:t>本基金本报告期末未投资股指期货。</w:t>
      </w:r>
    </w:p>
    <w:p w14:paraId="57E10825"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bCs/>
          <w:color w:val="000000"/>
          <w:sz w:val="24"/>
          <w:szCs w:val="24"/>
        </w:rPr>
        <w:t>10、报告期末本基金投资的国债期货交易情况说明</w:t>
      </w:r>
    </w:p>
    <w:p w14:paraId="6F0268B4"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本基金本报告期未投资国债期货。</w:t>
      </w:r>
    </w:p>
    <w:p w14:paraId="4A77A57F"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bCs/>
          <w:color w:val="000000"/>
          <w:sz w:val="24"/>
          <w:szCs w:val="24"/>
        </w:rPr>
        <w:t>11、投资组合报告附注</w:t>
      </w:r>
    </w:p>
    <w:p w14:paraId="6B14C663"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w:t>
      </w:r>
      <w:r w:rsidRPr="00C6511B">
        <w:rPr>
          <w:rFonts w:ascii="宋体" w:hAnsi="宋体"/>
          <w:bCs/>
          <w:color w:val="000000"/>
          <w:sz w:val="24"/>
          <w:szCs w:val="24"/>
        </w:rPr>
        <w:t>1）报告期内本基金投资的前十名证券的发行主体没有被监管部门立案调查或在报告编制日前一年内受到公开谴责、处罚的情况。</w:t>
      </w:r>
    </w:p>
    <w:p w14:paraId="170BA839"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w:t>
      </w:r>
      <w:r w:rsidRPr="00C6511B">
        <w:rPr>
          <w:rFonts w:ascii="宋体" w:hAnsi="宋体"/>
          <w:bCs/>
          <w:color w:val="000000"/>
          <w:sz w:val="24"/>
          <w:szCs w:val="24"/>
        </w:rPr>
        <w:t>2</w:t>
      </w:r>
      <w:r w:rsidRPr="00C6511B">
        <w:rPr>
          <w:rFonts w:ascii="宋体" w:hAnsi="宋体" w:hint="eastAsia"/>
          <w:bCs/>
          <w:color w:val="000000"/>
          <w:sz w:val="24"/>
          <w:szCs w:val="24"/>
        </w:rPr>
        <w:t>）本基金投资的前十名股票没有超出基金合同规定的备选股票库。</w:t>
      </w:r>
    </w:p>
    <w:p w14:paraId="354147AF"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w:t>
      </w:r>
      <w:r w:rsidRPr="00C6511B">
        <w:rPr>
          <w:rFonts w:ascii="宋体" w:hAnsi="宋体"/>
          <w:bCs/>
          <w:color w:val="000000"/>
          <w:sz w:val="24"/>
          <w:szCs w:val="24"/>
        </w:rPr>
        <w:t>3）期末其他各项资产构成</w:t>
      </w:r>
    </w:p>
    <w:p w14:paraId="2467C829" w14:textId="77777777" w:rsidR="00C00DE9" w:rsidRDefault="00C00DE9" w:rsidP="00C00DE9">
      <w:pPr>
        <w:spacing w:before="50" w:line="360" w:lineRule="auto"/>
        <w:jc w:val="right"/>
        <w:rPr>
          <w:szCs w:val="24"/>
        </w:rPr>
      </w:pPr>
      <w:r w:rsidRPr="00DC557E">
        <w:rPr>
          <w:rFonts w:hint="eastAsia"/>
          <w:color w:val="000000"/>
          <w:sz w:val="24"/>
          <w:szCs w:val="24"/>
        </w:rPr>
        <w:t>金额单位：人民币元</w:t>
      </w:r>
    </w:p>
    <w:tbl>
      <w:tblPr>
        <w:tblW w:w="9030" w:type="dxa"/>
        <w:tblInd w:w="108" w:type="dxa"/>
        <w:tblLayout w:type="fixed"/>
        <w:tblLook w:val="0000" w:firstRow="0" w:lastRow="0" w:firstColumn="0" w:lastColumn="0" w:noHBand="0" w:noVBand="0"/>
      </w:tblPr>
      <w:tblGrid>
        <w:gridCol w:w="722"/>
        <w:gridCol w:w="3612"/>
        <w:gridCol w:w="4696"/>
      </w:tblGrid>
      <w:tr w:rsidR="00C00DE9" w:rsidRPr="00F60BEC" w14:paraId="6543ACA5"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C76A097"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序号</w:t>
            </w:r>
          </w:p>
        </w:tc>
        <w:tc>
          <w:tcPr>
            <w:tcW w:w="3612" w:type="dxa"/>
            <w:tcBorders>
              <w:top w:val="single" w:sz="8" w:space="0" w:color="000000"/>
              <w:left w:val="single" w:sz="8" w:space="0" w:color="000000"/>
              <w:bottom w:val="single" w:sz="8" w:space="0" w:color="000000"/>
              <w:right w:val="single" w:sz="8" w:space="0" w:color="000000"/>
            </w:tcBorders>
            <w:vAlign w:val="center"/>
          </w:tcPr>
          <w:p w14:paraId="2DFB9693"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名称</w:t>
            </w:r>
          </w:p>
        </w:tc>
        <w:tc>
          <w:tcPr>
            <w:tcW w:w="4696" w:type="dxa"/>
            <w:tcBorders>
              <w:top w:val="single" w:sz="8" w:space="0" w:color="000000"/>
              <w:left w:val="single" w:sz="8" w:space="0" w:color="000000"/>
              <w:bottom w:val="single" w:sz="8" w:space="0" w:color="000000"/>
              <w:right w:val="single" w:sz="8" w:space="0" w:color="000000"/>
            </w:tcBorders>
            <w:vAlign w:val="center"/>
          </w:tcPr>
          <w:p w14:paraId="27CC5773"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金额</w:t>
            </w:r>
          </w:p>
        </w:tc>
      </w:tr>
      <w:tr w:rsidR="00B76D75" w:rsidRPr="00F60BEC" w14:paraId="5C1A7B22"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704315EC"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1</w:t>
            </w:r>
          </w:p>
        </w:tc>
        <w:tc>
          <w:tcPr>
            <w:tcW w:w="3612" w:type="dxa"/>
            <w:tcBorders>
              <w:top w:val="single" w:sz="8" w:space="0" w:color="000000"/>
              <w:left w:val="single" w:sz="8" w:space="0" w:color="000000"/>
              <w:bottom w:val="single" w:sz="8" w:space="0" w:color="000000"/>
              <w:right w:val="single" w:sz="8" w:space="0" w:color="000000"/>
            </w:tcBorders>
            <w:vAlign w:val="center"/>
          </w:tcPr>
          <w:p w14:paraId="58ACF2B9"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存出保证金</w:t>
            </w:r>
          </w:p>
        </w:tc>
        <w:tc>
          <w:tcPr>
            <w:tcW w:w="4696" w:type="dxa"/>
            <w:tcBorders>
              <w:top w:val="single" w:sz="8" w:space="0" w:color="000000"/>
              <w:left w:val="single" w:sz="8" w:space="0" w:color="000000"/>
              <w:bottom w:val="single" w:sz="8" w:space="0" w:color="000000"/>
              <w:right w:val="single" w:sz="8" w:space="0" w:color="000000"/>
            </w:tcBorders>
          </w:tcPr>
          <w:p w14:paraId="7DE883F0" w14:textId="7DF86767"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16,070.45</w:t>
            </w:r>
          </w:p>
        </w:tc>
      </w:tr>
      <w:tr w:rsidR="00B76D75" w:rsidRPr="00F60BEC" w14:paraId="3EF2F4A7"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7EF2A562"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2</w:t>
            </w:r>
          </w:p>
        </w:tc>
        <w:tc>
          <w:tcPr>
            <w:tcW w:w="3612" w:type="dxa"/>
            <w:tcBorders>
              <w:top w:val="single" w:sz="8" w:space="0" w:color="000000"/>
              <w:left w:val="single" w:sz="8" w:space="0" w:color="000000"/>
              <w:bottom w:val="single" w:sz="8" w:space="0" w:color="000000"/>
              <w:right w:val="single" w:sz="8" w:space="0" w:color="000000"/>
            </w:tcBorders>
            <w:vAlign w:val="center"/>
          </w:tcPr>
          <w:p w14:paraId="3DBF9F3B"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应收证券清算款</w:t>
            </w:r>
          </w:p>
        </w:tc>
        <w:tc>
          <w:tcPr>
            <w:tcW w:w="4696" w:type="dxa"/>
            <w:tcBorders>
              <w:top w:val="single" w:sz="8" w:space="0" w:color="000000"/>
              <w:left w:val="single" w:sz="8" w:space="0" w:color="000000"/>
              <w:bottom w:val="single" w:sz="8" w:space="0" w:color="000000"/>
              <w:right w:val="single" w:sz="8" w:space="0" w:color="000000"/>
            </w:tcBorders>
          </w:tcPr>
          <w:p w14:paraId="7B4C735F" w14:textId="53DE424C"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w:t>
            </w:r>
          </w:p>
        </w:tc>
      </w:tr>
      <w:tr w:rsidR="00B76D75" w:rsidRPr="00F60BEC" w14:paraId="17E87F6A"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9A08F4D"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3</w:t>
            </w:r>
          </w:p>
        </w:tc>
        <w:tc>
          <w:tcPr>
            <w:tcW w:w="3612" w:type="dxa"/>
            <w:tcBorders>
              <w:top w:val="single" w:sz="8" w:space="0" w:color="000000"/>
              <w:left w:val="single" w:sz="8" w:space="0" w:color="000000"/>
              <w:bottom w:val="single" w:sz="8" w:space="0" w:color="000000"/>
              <w:right w:val="single" w:sz="8" w:space="0" w:color="000000"/>
            </w:tcBorders>
            <w:vAlign w:val="center"/>
          </w:tcPr>
          <w:p w14:paraId="6FA62E46"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应收股利</w:t>
            </w:r>
          </w:p>
        </w:tc>
        <w:tc>
          <w:tcPr>
            <w:tcW w:w="4696" w:type="dxa"/>
            <w:tcBorders>
              <w:top w:val="single" w:sz="8" w:space="0" w:color="000000"/>
              <w:left w:val="single" w:sz="8" w:space="0" w:color="000000"/>
              <w:bottom w:val="single" w:sz="8" w:space="0" w:color="000000"/>
              <w:right w:val="single" w:sz="8" w:space="0" w:color="000000"/>
            </w:tcBorders>
          </w:tcPr>
          <w:p w14:paraId="554A2133" w14:textId="3D6383DA"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w:t>
            </w:r>
          </w:p>
        </w:tc>
      </w:tr>
      <w:tr w:rsidR="00B76D75" w:rsidRPr="00F60BEC" w14:paraId="7F71465D"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4D6CCFD6"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4</w:t>
            </w:r>
          </w:p>
        </w:tc>
        <w:tc>
          <w:tcPr>
            <w:tcW w:w="3612" w:type="dxa"/>
            <w:tcBorders>
              <w:top w:val="single" w:sz="8" w:space="0" w:color="000000"/>
              <w:left w:val="single" w:sz="8" w:space="0" w:color="000000"/>
              <w:bottom w:val="single" w:sz="8" w:space="0" w:color="000000"/>
              <w:right w:val="single" w:sz="8" w:space="0" w:color="000000"/>
            </w:tcBorders>
            <w:vAlign w:val="center"/>
          </w:tcPr>
          <w:p w14:paraId="626E25C6"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应收利息</w:t>
            </w:r>
          </w:p>
        </w:tc>
        <w:tc>
          <w:tcPr>
            <w:tcW w:w="4696" w:type="dxa"/>
            <w:tcBorders>
              <w:top w:val="single" w:sz="8" w:space="0" w:color="000000"/>
              <w:left w:val="single" w:sz="8" w:space="0" w:color="000000"/>
              <w:bottom w:val="single" w:sz="8" w:space="0" w:color="000000"/>
              <w:right w:val="single" w:sz="8" w:space="0" w:color="000000"/>
            </w:tcBorders>
          </w:tcPr>
          <w:p w14:paraId="36ABFF63" w14:textId="21CFD23B"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10,630,236.17</w:t>
            </w:r>
          </w:p>
        </w:tc>
      </w:tr>
      <w:tr w:rsidR="00B76D75" w:rsidRPr="00F60BEC" w14:paraId="089E23A1"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7A54FFA"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5</w:t>
            </w:r>
          </w:p>
        </w:tc>
        <w:tc>
          <w:tcPr>
            <w:tcW w:w="3612" w:type="dxa"/>
            <w:tcBorders>
              <w:top w:val="single" w:sz="8" w:space="0" w:color="000000"/>
              <w:left w:val="single" w:sz="8" w:space="0" w:color="000000"/>
              <w:bottom w:val="single" w:sz="8" w:space="0" w:color="000000"/>
              <w:right w:val="single" w:sz="8" w:space="0" w:color="000000"/>
            </w:tcBorders>
            <w:vAlign w:val="center"/>
          </w:tcPr>
          <w:p w14:paraId="5BF9FCC4"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应收申购款</w:t>
            </w:r>
          </w:p>
        </w:tc>
        <w:tc>
          <w:tcPr>
            <w:tcW w:w="4696" w:type="dxa"/>
            <w:tcBorders>
              <w:top w:val="single" w:sz="8" w:space="0" w:color="000000"/>
              <w:left w:val="single" w:sz="8" w:space="0" w:color="000000"/>
              <w:bottom w:val="single" w:sz="8" w:space="0" w:color="000000"/>
              <w:right w:val="single" w:sz="8" w:space="0" w:color="000000"/>
            </w:tcBorders>
          </w:tcPr>
          <w:p w14:paraId="2062C7F7" w14:textId="5077B4FE"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w:t>
            </w:r>
          </w:p>
        </w:tc>
      </w:tr>
      <w:tr w:rsidR="00B76D75" w:rsidRPr="00F60BEC" w14:paraId="218EA58B"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35C9833F"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6</w:t>
            </w:r>
          </w:p>
        </w:tc>
        <w:tc>
          <w:tcPr>
            <w:tcW w:w="3612" w:type="dxa"/>
            <w:tcBorders>
              <w:top w:val="single" w:sz="8" w:space="0" w:color="000000"/>
              <w:left w:val="single" w:sz="8" w:space="0" w:color="000000"/>
              <w:bottom w:val="single" w:sz="8" w:space="0" w:color="000000"/>
              <w:right w:val="single" w:sz="8" w:space="0" w:color="000000"/>
            </w:tcBorders>
            <w:vAlign w:val="center"/>
          </w:tcPr>
          <w:p w14:paraId="0EBCE4BA"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其他应收款</w:t>
            </w:r>
          </w:p>
        </w:tc>
        <w:tc>
          <w:tcPr>
            <w:tcW w:w="4696" w:type="dxa"/>
            <w:tcBorders>
              <w:top w:val="single" w:sz="8" w:space="0" w:color="000000"/>
              <w:left w:val="single" w:sz="8" w:space="0" w:color="000000"/>
              <w:bottom w:val="single" w:sz="8" w:space="0" w:color="000000"/>
              <w:right w:val="single" w:sz="8" w:space="0" w:color="000000"/>
            </w:tcBorders>
          </w:tcPr>
          <w:p w14:paraId="7F9F6911" w14:textId="652F6013"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w:t>
            </w:r>
          </w:p>
        </w:tc>
      </w:tr>
      <w:tr w:rsidR="00B76D75" w:rsidRPr="00F60BEC" w14:paraId="4FD889CA"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78717C6A"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7</w:t>
            </w:r>
          </w:p>
        </w:tc>
        <w:tc>
          <w:tcPr>
            <w:tcW w:w="3612" w:type="dxa"/>
            <w:tcBorders>
              <w:top w:val="single" w:sz="8" w:space="0" w:color="000000"/>
              <w:left w:val="single" w:sz="8" w:space="0" w:color="000000"/>
              <w:bottom w:val="single" w:sz="8" w:space="0" w:color="000000"/>
              <w:right w:val="single" w:sz="8" w:space="0" w:color="000000"/>
            </w:tcBorders>
            <w:vAlign w:val="center"/>
          </w:tcPr>
          <w:p w14:paraId="34BEF42E"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待摊费用</w:t>
            </w:r>
          </w:p>
        </w:tc>
        <w:tc>
          <w:tcPr>
            <w:tcW w:w="4696" w:type="dxa"/>
            <w:tcBorders>
              <w:top w:val="single" w:sz="8" w:space="0" w:color="000000"/>
              <w:left w:val="single" w:sz="8" w:space="0" w:color="000000"/>
              <w:bottom w:val="single" w:sz="8" w:space="0" w:color="000000"/>
              <w:right w:val="single" w:sz="8" w:space="0" w:color="000000"/>
            </w:tcBorders>
          </w:tcPr>
          <w:p w14:paraId="1CAA645A" w14:textId="556BBA5E"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w:t>
            </w:r>
          </w:p>
        </w:tc>
      </w:tr>
      <w:tr w:rsidR="00B76D75" w:rsidRPr="00F60BEC" w14:paraId="19E5034C"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412AF3F5"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8</w:t>
            </w:r>
          </w:p>
        </w:tc>
        <w:tc>
          <w:tcPr>
            <w:tcW w:w="3612" w:type="dxa"/>
            <w:tcBorders>
              <w:top w:val="single" w:sz="8" w:space="0" w:color="000000"/>
              <w:left w:val="single" w:sz="8" w:space="0" w:color="000000"/>
              <w:bottom w:val="single" w:sz="8" w:space="0" w:color="000000"/>
              <w:right w:val="single" w:sz="8" w:space="0" w:color="000000"/>
            </w:tcBorders>
            <w:vAlign w:val="center"/>
          </w:tcPr>
          <w:p w14:paraId="27DDD539" w14:textId="77777777" w:rsidR="00B76D75" w:rsidRPr="00F60BEC" w:rsidRDefault="00B76D75" w:rsidP="00B76D75">
            <w:pPr>
              <w:autoSpaceDE w:val="0"/>
              <w:autoSpaceDN w:val="0"/>
              <w:adjustRightInd w:val="0"/>
              <w:spacing w:before="30" w:line="288" w:lineRule="auto"/>
              <w:ind w:left="15"/>
              <w:jc w:val="left"/>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其他</w:t>
            </w:r>
          </w:p>
        </w:tc>
        <w:tc>
          <w:tcPr>
            <w:tcW w:w="4696" w:type="dxa"/>
            <w:tcBorders>
              <w:top w:val="single" w:sz="8" w:space="0" w:color="000000"/>
              <w:left w:val="single" w:sz="8" w:space="0" w:color="000000"/>
              <w:bottom w:val="single" w:sz="8" w:space="0" w:color="000000"/>
              <w:right w:val="single" w:sz="8" w:space="0" w:color="000000"/>
            </w:tcBorders>
          </w:tcPr>
          <w:p w14:paraId="0449AFAC" w14:textId="5678D4C2"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w:t>
            </w:r>
          </w:p>
        </w:tc>
      </w:tr>
      <w:tr w:rsidR="00B76D75" w:rsidRPr="00F60BEC" w14:paraId="3F3E6DF0" w14:textId="77777777" w:rsidTr="00C826D7">
        <w:tc>
          <w:tcPr>
            <w:tcW w:w="722" w:type="dxa"/>
            <w:tcBorders>
              <w:top w:val="single" w:sz="8" w:space="0" w:color="000000"/>
              <w:left w:val="single" w:sz="8" w:space="0" w:color="000000"/>
              <w:bottom w:val="single" w:sz="8" w:space="0" w:color="000000"/>
              <w:right w:val="single" w:sz="8" w:space="0" w:color="000000"/>
            </w:tcBorders>
            <w:vAlign w:val="center"/>
          </w:tcPr>
          <w:p w14:paraId="01BC3BBA"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color w:val="000000"/>
                <w:kern w:val="0"/>
                <w:sz w:val="24"/>
                <w:szCs w:val="24"/>
              </w:rPr>
              <w:t>9</w:t>
            </w:r>
          </w:p>
        </w:tc>
        <w:tc>
          <w:tcPr>
            <w:tcW w:w="3612" w:type="dxa"/>
            <w:tcBorders>
              <w:top w:val="single" w:sz="8" w:space="0" w:color="000000"/>
              <w:left w:val="single" w:sz="8" w:space="0" w:color="000000"/>
              <w:bottom w:val="single" w:sz="8" w:space="0" w:color="000000"/>
              <w:right w:val="single" w:sz="8" w:space="0" w:color="000000"/>
            </w:tcBorders>
            <w:vAlign w:val="center"/>
          </w:tcPr>
          <w:p w14:paraId="2D4BFC21" w14:textId="77777777" w:rsidR="00B76D75" w:rsidRPr="00F60BEC" w:rsidRDefault="00B76D75" w:rsidP="00B76D75">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合计</w:t>
            </w:r>
          </w:p>
        </w:tc>
        <w:tc>
          <w:tcPr>
            <w:tcW w:w="4696" w:type="dxa"/>
            <w:tcBorders>
              <w:top w:val="single" w:sz="8" w:space="0" w:color="000000"/>
              <w:left w:val="single" w:sz="8" w:space="0" w:color="000000"/>
              <w:bottom w:val="single" w:sz="8" w:space="0" w:color="000000"/>
              <w:right w:val="single" w:sz="8" w:space="0" w:color="000000"/>
            </w:tcBorders>
          </w:tcPr>
          <w:p w14:paraId="57144240" w14:textId="791435B4" w:rsidR="00B76D75" w:rsidRPr="00F60BEC" w:rsidRDefault="00B76D75" w:rsidP="00B76D75">
            <w:pPr>
              <w:autoSpaceDE w:val="0"/>
              <w:autoSpaceDN w:val="0"/>
              <w:adjustRightInd w:val="0"/>
              <w:spacing w:before="30" w:line="288" w:lineRule="auto"/>
              <w:ind w:left="15"/>
              <w:jc w:val="right"/>
              <w:rPr>
                <w:rFonts w:asciiTheme="minorEastAsia" w:hAnsiTheme="minorEastAsia"/>
                <w:color w:val="000000"/>
                <w:kern w:val="0"/>
                <w:sz w:val="24"/>
                <w:szCs w:val="24"/>
              </w:rPr>
            </w:pPr>
            <w:r w:rsidRPr="00BE62D3">
              <w:t>10,646,306.62</w:t>
            </w:r>
          </w:p>
        </w:tc>
      </w:tr>
    </w:tbl>
    <w:p w14:paraId="590C5E1D"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w:t>
      </w:r>
      <w:r w:rsidRPr="00C6511B">
        <w:rPr>
          <w:rFonts w:ascii="宋体" w:hAnsi="宋体"/>
          <w:bCs/>
          <w:color w:val="000000"/>
          <w:sz w:val="24"/>
          <w:szCs w:val="24"/>
        </w:rPr>
        <w:t>4）报告期末持有的处于转股期的可转换债券明细</w:t>
      </w:r>
    </w:p>
    <w:p w14:paraId="1FE676DF" w14:textId="6E31D684" w:rsidR="001634B4" w:rsidRPr="00C6511B" w:rsidRDefault="001634B4" w:rsidP="001634B4">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本基金本报告期未</w:t>
      </w:r>
      <w:r w:rsidRPr="001634B4">
        <w:rPr>
          <w:rFonts w:ascii="宋体" w:hAnsi="宋体" w:hint="eastAsia"/>
          <w:bCs/>
          <w:color w:val="000000"/>
          <w:sz w:val="24"/>
          <w:szCs w:val="24"/>
        </w:rPr>
        <w:t>持有的处于转股期的可转换债券明细</w:t>
      </w:r>
      <w:r w:rsidRPr="00C6511B">
        <w:rPr>
          <w:rFonts w:ascii="宋体" w:hAnsi="宋体" w:hint="eastAsia"/>
          <w:bCs/>
          <w:color w:val="000000"/>
          <w:sz w:val="24"/>
          <w:szCs w:val="24"/>
        </w:rPr>
        <w:t>。</w:t>
      </w:r>
    </w:p>
    <w:p w14:paraId="11621165" w14:textId="77777777" w:rsidR="001634B4" w:rsidRPr="001634B4" w:rsidRDefault="001634B4" w:rsidP="00C00DE9">
      <w:pPr>
        <w:spacing w:before="50" w:line="360" w:lineRule="auto"/>
        <w:ind w:firstLineChars="200" w:firstLine="480"/>
        <w:rPr>
          <w:rFonts w:ascii="宋体" w:hAnsi="宋体"/>
          <w:bCs/>
          <w:color w:val="000000"/>
          <w:sz w:val="24"/>
          <w:szCs w:val="24"/>
        </w:rPr>
      </w:pPr>
    </w:p>
    <w:p w14:paraId="00ED9BCD"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w:t>
      </w:r>
      <w:r w:rsidRPr="00C6511B">
        <w:rPr>
          <w:rFonts w:ascii="宋体" w:hAnsi="宋体"/>
          <w:bCs/>
          <w:color w:val="000000"/>
          <w:sz w:val="24"/>
          <w:szCs w:val="24"/>
        </w:rPr>
        <w:t>5）报告期末前十名股票中存在流通受限情况的说明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1592"/>
        <w:gridCol w:w="1319"/>
        <w:gridCol w:w="1712"/>
        <w:gridCol w:w="1322"/>
        <w:gridCol w:w="1737"/>
      </w:tblGrid>
      <w:tr w:rsidR="00B76D75" w14:paraId="63C59D58" w14:textId="77777777" w:rsidTr="00C826D7">
        <w:trPr>
          <w:trHeight w:val="996"/>
        </w:trPr>
        <w:tc>
          <w:tcPr>
            <w:tcW w:w="648" w:type="dxa"/>
            <w:shd w:val="clear" w:color="auto" w:fill="D9D9D9"/>
            <w:vAlign w:val="center"/>
          </w:tcPr>
          <w:p w14:paraId="18AC3BF2" w14:textId="77777777" w:rsidR="00B76D75" w:rsidRDefault="00B76D75" w:rsidP="00C826D7">
            <w:pPr>
              <w:jc w:val="center"/>
              <w:rPr>
                <w:rFonts w:ascii="宋体" w:hAnsi="宋体"/>
              </w:rPr>
            </w:pPr>
            <w:bookmarkStart w:id="192" w:name="m508_04_tab"/>
            <w:r>
              <w:rPr>
                <w:rFonts w:ascii="宋体" w:hAnsi="宋体" w:hint="eastAsia"/>
              </w:rPr>
              <w:t>序号</w:t>
            </w:r>
          </w:p>
        </w:tc>
        <w:tc>
          <w:tcPr>
            <w:tcW w:w="1731" w:type="dxa"/>
            <w:shd w:val="clear" w:color="auto" w:fill="D9D9D9"/>
            <w:vAlign w:val="center"/>
          </w:tcPr>
          <w:p w14:paraId="228478E6" w14:textId="77777777" w:rsidR="00B76D75" w:rsidRDefault="00B76D75" w:rsidP="00C826D7">
            <w:pPr>
              <w:jc w:val="center"/>
              <w:rPr>
                <w:rFonts w:ascii="宋体" w:hAnsi="宋体"/>
              </w:rPr>
            </w:pPr>
            <w:r>
              <w:rPr>
                <w:rFonts w:ascii="宋体" w:hAnsi="宋体" w:hint="eastAsia"/>
              </w:rPr>
              <w:t>股票代码</w:t>
            </w:r>
          </w:p>
        </w:tc>
        <w:tc>
          <w:tcPr>
            <w:tcW w:w="1485" w:type="dxa"/>
            <w:shd w:val="clear" w:color="auto" w:fill="D9D9D9"/>
            <w:vAlign w:val="center"/>
          </w:tcPr>
          <w:p w14:paraId="4F1EDC0E" w14:textId="77777777" w:rsidR="00B76D75" w:rsidRDefault="00B76D75" w:rsidP="00C826D7">
            <w:pPr>
              <w:jc w:val="center"/>
              <w:rPr>
                <w:rFonts w:ascii="宋体" w:hAnsi="宋体"/>
              </w:rPr>
            </w:pPr>
            <w:r>
              <w:rPr>
                <w:rFonts w:ascii="宋体" w:hAnsi="宋体" w:hint="eastAsia"/>
              </w:rPr>
              <w:t>股票名称</w:t>
            </w:r>
          </w:p>
        </w:tc>
        <w:tc>
          <w:tcPr>
            <w:tcW w:w="1795" w:type="dxa"/>
            <w:shd w:val="clear" w:color="auto" w:fill="D9D9D9"/>
            <w:vAlign w:val="center"/>
          </w:tcPr>
          <w:p w14:paraId="6DECF061" w14:textId="77777777" w:rsidR="00B76D75" w:rsidRDefault="00B76D75" w:rsidP="00C826D7">
            <w:pPr>
              <w:jc w:val="right"/>
              <w:rPr>
                <w:rFonts w:ascii="宋体" w:hAnsi="宋体"/>
              </w:rPr>
            </w:pPr>
            <w:r>
              <w:rPr>
                <w:rFonts w:ascii="宋体" w:hAnsi="宋体" w:hint="eastAsia"/>
              </w:rPr>
              <w:t>流通受限部分的公允价值</w:t>
            </w:r>
            <w:r>
              <w:rPr>
                <w:rFonts w:ascii="宋体" w:hAnsi="宋体"/>
              </w:rPr>
              <w:t>(元)</w:t>
            </w:r>
          </w:p>
        </w:tc>
        <w:tc>
          <w:tcPr>
            <w:tcW w:w="1430" w:type="dxa"/>
            <w:shd w:val="clear" w:color="auto" w:fill="D9D9D9"/>
            <w:vAlign w:val="center"/>
          </w:tcPr>
          <w:p w14:paraId="35CEBDA3" w14:textId="77777777" w:rsidR="00B76D75" w:rsidRDefault="00B76D75" w:rsidP="00C826D7">
            <w:pPr>
              <w:jc w:val="right"/>
              <w:rPr>
                <w:rFonts w:ascii="宋体" w:hAnsi="宋体"/>
              </w:rPr>
            </w:pPr>
            <w:r>
              <w:rPr>
                <w:rFonts w:ascii="宋体" w:hAnsi="宋体" w:hint="eastAsia"/>
              </w:rPr>
              <w:t>占基金资产净值比例（</w:t>
            </w:r>
            <w:r>
              <w:rPr>
                <w:rFonts w:ascii="宋体" w:hAnsi="宋体"/>
              </w:rPr>
              <w:t>%）</w:t>
            </w:r>
          </w:p>
        </w:tc>
        <w:tc>
          <w:tcPr>
            <w:tcW w:w="1980" w:type="dxa"/>
            <w:shd w:val="clear" w:color="auto" w:fill="D9D9D9"/>
            <w:vAlign w:val="center"/>
          </w:tcPr>
          <w:p w14:paraId="574DEE8E" w14:textId="77777777" w:rsidR="00B76D75" w:rsidRDefault="00B76D75" w:rsidP="00C826D7">
            <w:pPr>
              <w:jc w:val="center"/>
              <w:rPr>
                <w:rFonts w:ascii="宋体" w:hAnsi="宋体"/>
              </w:rPr>
            </w:pPr>
            <w:r>
              <w:rPr>
                <w:rFonts w:ascii="宋体" w:hAnsi="宋体" w:hint="eastAsia"/>
              </w:rPr>
              <w:t>流通受限情况说明</w:t>
            </w:r>
          </w:p>
        </w:tc>
      </w:tr>
      <w:tr w:rsidR="00B76D75" w14:paraId="58397924" w14:textId="77777777" w:rsidTr="00C826D7">
        <w:trPr>
          <w:trHeight w:val="344"/>
        </w:trPr>
        <w:tc>
          <w:tcPr>
            <w:tcW w:w="648" w:type="dxa"/>
            <w:vAlign w:val="center"/>
          </w:tcPr>
          <w:p w14:paraId="2F32180E" w14:textId="77777777" w:rsidR="00B76D75" w:rsidRDefault="00B76D75" w:rsidP="00C826D7">
            <w:pPr>
              <w:jc w:val="center"/>
              <w:rPr>
                <w:rFonts w:ascii="宋体" w:hAnsi="宋体"/>
              </w:rPr>
            </w:pPr>
            <w:r>
              <w:rPr>
                <w:rFonts w:ascii="宋体" w:hAnsi="宋体"/>
              </w:rPr>
              <w:t>1</w:t>
            </w:r>
          </w:p>
        </w:tc>
        <w:tc>
          <w:tcPr>
            <w:tcW w:w="1731" w:type="dxa"/>
            <w:vAlign w:val="center"/>
          </w:tcPr>
          <w:p w14:paraId="2FD197D2" w14:textId="77777777" w:rsidR="00B76D75" w:rsidRDefault="00B76D75" w:rsidP="00C826D7">
            <w:pPr>
              <w:jc w:val="center"/>
              <w:rPr>
                <w:rFonts w:ascii="宋体" w:hAnsi="宋体"/>
              </w:rPr>
            </w:pPr>
            <w:r>
              <w:rPr>
                <w:rFonts w:ascii="宋体" w:hAnsi="宋体"/>
              </w:rPr>
              <w:t>603313</w:t>
            </w:r>
          </w:p>
        </w:tc>
        <w:tc>
          <w:tcPr>
            <w:tcW w:w="1485" w:type="dxa"/>
            <w:vAlign w:val="center"/>
          </w:tcPr>
          <w:p w14:paraId="16BA18C0" w14:textId="77777777" w:rsidR="00B76D75" w:rsidRDefault="00B76D75" w:rsidP="00C826D7">
            <w:pPr>
              <w:jc w:val="center"/>
              <w:rPr>
                <w:rFonts w:ascii="宋体" w:hAnsi="宋体"/>
              </w:rPr>
            </w:pPr>
            <w:r>
              <w:rPr>
                <w:rFonts w:ascii="宋体" w:hAnsi="宋体"/>
              </w:rPr>
              <w:t>恒康家居</w:t>
            </w:r>
          </w:p>
        </w:tc>
        <w:tc>
          <w:tcPr>
            <w:tcW w:w="1795" w:type="dxa"/>
            <w:vAlign w:val="center"/>
          </w:tcPr>
          <w:p w14:paraId="7C543FD5" w14:textId="77777777" w:rsidR="00B76D75" w:rsidRDefault="00B76D75" w:rsidP="00C826D7">
            <w:pPr>
              <w:jc w:val="right"/>
              <w:rPr>
                <w:rFonts w:ascii="宋体" w:hAnsi="宋体"/>
              </w:rPr>
            </w:pPr>
            <w:r>
              <w:rPr>
                <w:rFonts w:ascii="宋体" w:hAnsi="宋体"/>
              </w:rPr>
              <w:t>100,180.41</w:t>
            </w:r>
          </w:p>
        </w:tc>
        <w:tc>
          <w:tcPr>
            <w:tcW w:w="1430" w:type="dxa"/>
            <w:vAlign w:val="center"/>
          </w:tcPr>
          <w:p w14:paraId="4721D686" w14:textId="77777777" w:rsidR="00B76D75" w:rsidRDefault="00B76D75" w:rsidP="00C826D7">
            <w:pPr>
              <w:jc w:val="right"/>
              <w:rPr>
                <w:rFonts w:ascii="宋体" w:hAnsi="宋体"/>
              </w:rPr>
            </w:pPr>
            <w:r>
              <w:rPr>
                <w:rFonts w:ascii="宋体" w:hAnsi="宋体"/>
              </w:rPr>
              <w:t>0.01</w:t>
            </w:r>
          </w:p>
        </w:tc>
        <w:tc>
          <w:tcPr>
            <w:tcW w:w="1980" w:type="dxa"/>
            <w:vAlign w:val="center"/>
          </w:tcPr>
          <w:p w14:paraId="782FAE2A" w14:textId="77777777" w:rsidR="00B76D75" w:rsidRDefault="00B76D75" w:rsidP="00C826D7">
            <w:pPr>
              <w:jc w:val="center"/>
              <w:rPr>
                <w:rFonts w:ascii="宋体" w:hAnsi="宋体"/>
              </w:rPr>
            </w:pPr>
            <w:r>
              <w:rPr>
                <w:rFonts w:ascii="宋体" w:hAnsi="宋体"/>
              </w:rPr>
              <w:t>新股锁定</w:t>
            </w:r>
          </w:p>
        </w:tc>
      </w:tr>
      <w:tr w:rsidR="00B76D75" w14:paraId="6ACF3B9E" w14:textId="77777777" w:rsidTr="00C826D7">
        <w:trPr>
          <w:trHeight w:val="344"/>
        </w:trPr>
        <w:tc>
          <w:tcPr>
            <w:tcW w:w="648" w:type="dxa"/>
            <w:vAlign w:val="center"/>
          </w:tcPr>
          <w:p w14:paraId="2FE94BE5" w14:textId="77777777" w:rsidR="00B76D75" w:rsidRDefault="00B76D75" w:rsidP="00C826D7">
            <w:pPr>
              <w:jc w:val="center"/>
              <w:rPr>
                <w:rFonts w:ascii="宋体" w:hAnsi="宋体"/>
              </w:rPr>
            </w:pPr>
            <w:r>
              <w:rPr>
                <w:rFonts w:ascii="宋体" w:hAnsi="宋体"/>
              </w:rPr>
              <w:t>2</w:t>
            </w:r>
          </w:p>
        </w:tc>
        <w:tc>
          <w:tcPr>
            <w:tcW w:w="1731" w:type="dxa"/>
            <w:vAlign w:val="center"/>
          </w:tcPr>
          <w:p w14:paraId="241166A9" w14:textId="77777777" w:rsidR="00B76D75" w:rsidRDefault="00B76D75" w:rsidP="00C826D7">
            <w:pPr>
              <w:jc w:val="center"/>
              <w:rPr>
                <w:rFonts w:ascii="宋体" w:hAnsi="宋体"/>
              </w:rPr>
            </w:pPr>
            <w:r>
              <w:rPr>
                <w:rFonts w:ascii="宋体" w:hAnsi="宋体"/>
              </w:rPr>
              <w:t>603816</w:t>
            </w:r>
          </w:p>
        </w:tc>
        <w:tc>
          <w:tcPr>
            <w:tcW w:w="1485" w:type="dxa"/>
            <w:vAlign w:val="center"/>
          </w:tcPr>
          <w:p w14:paraId="4A9C2C66" w14:textId="77777777" w:rsidR="00B76D75" w:rsidRDefault="00B76D75" w:rsidP="00C826D7">
            <w:pPr>
              <w:jc w:val="center"/>
              <w:rPr>
                <w:rFonts w:ascii="宋体" w:hAnsi="宋体"/>
              </w:rPr>
            </w:pPr>
            <w:r>
              <w:rPr>
                <w:rFonts w:ascii="宋体" w:hAnsi="宋体"/>
              </w:rPr>
              <w:t>顾家家居</w:t>
            </w:r>
          </w:p>
        </w:tc>
        <w:tc>
          <w:tcPr>
            <w:tcW w:w="1795" w:type="dxa"/>
            <w:vAlign w:val="center"/>
          </w:tcPr>
          <w:p w14:paraId="64601813" w14:textId="77777777" w:rsidR="00B76D75" w:rsidRDefault="00B76D75" w:rsidP="00C826D7">
            <w:pPr>
              <w:jc w:val="right"/>
              <w:rPr>
                <w:rFonts w:ascii="宋体" w:hAnsi="宋体"/>
              </w:rPr>
            </w:pPr>
            <w:r>
              <w:rPr>
                <w:rFonts w:ascii="宋体" w:hAnsi="宋体"/>
              </w:rPr>
              <w:t>72,673.02</w:t>
            </w:r>
          </w:p>
        </w:tc>
        <w:tc>
          <w:tcPr>
            <w:tcW w:w="1430" w:type="dxa"/>
            <w:vAlign w:val="center"/>
          </w:tcPr>
          <w:p w14:paraId="558874A2" w14:textId="77777777" w:rsidR="00B76D75" w:rsidRDefault="00B76D75" w:rsidP="00C826D7">
            <w:pPr>
              <w:jc w:val="right"/>
              <w:rPr>
                <w:rFonts w:ascii="宋体" w:hAnsi="宋体"/>
              </w:rPr>
            </w:pPr>
            <w:r>
              <w:rPr>
                <w:rFonts w:ascii="宋体" w:hAnsi="宋体"/>
              </w:rPr>
              <w:t>0.01</w:t>
            </w:r>
          </w:p>
        </w:tc>
        <w:tc>
          <w:tcPr>
            <w:tcW w:w="1980" w:type="dxa"/>
            <w:vAlign w:val="center"/>
          </w:tcPr>
          <w:p w14:paraId="6EEF3B9F" w14:textId="77777777" w:rsidR="00B76D75" w:rsidRDefault="00B76D75" w:rsidP="00C826D7">
            <w:pPr>
              <w:jc w:val="center"/>
              <w:rPr>
                <w:rFonts w:ascii="宋体" w:hAnsi="宋体"/>
              </w:rPr>
            </w:pPr>
            <w:r>
              <w:rPr>
                <w:rFonts w:ascii="宋体" w:hAnsi="宋体"/>
              </w:rPr>
              <w:t>新股锁定</w:t>
            </w:r>
          </w:p>
        </w:tc>
      </w:tr>
      <w:tr w:rsidR="00B76D75" w14:paraId="2495B545" w14:textId="77777777" w:rsidTr="00C826D7">
        <w:trPr>
          <w:trHeight w:val="344"/>
        </w:trPr>
        <w:tc>
          <w:tcPr>
            <w:tcW w:w="648" w:type="dxa"/>
            <w:vAlign w:val="center"/>
          </w:tcPr>
          <w:p w14:paraId="2B2F1C27" w14:textId="77777777" w:rsidR="00B76D75" w:rsidRDefault="00B76D75" w:rsidP="00C826D7">
            <w:pPr>
              <w:jc w:val="center"/>
              <w:rPr>
                <w:rFonts w:ascii="宋体" w:hAnsi="宋体"/>
              </w:rPr>
            </w:pPr>
            <w:r>
              <w:rPr>
                <w:rFonts w:ascii="宋体" w:hAnsi="宋体"/>
              </w:rPr>
              <w:t>3</w:t>
            </w:r>
          </w:p>
        </w:tc>
        <w:tc>
          <w:tcPr>
            <w:tcW w:w="1731" w:type="dxa"/>
            <w:vAlign w:val="center"/>
          </w:tcPr>
          <w:p w14:paraId="4957D278" w14:textId="77777777" w:rsidR="00B76D75" w:rsidRDefault="00B76D75" w:rsidP="00C826D7">
            <w:pPr>
              <w:jc w:val="center"/>
              <w:rPr>
                <w:rFonts w:ascii="宋体" w:hAnsi="宋体"/>
              </w:rPr>
            </w:pPr>
            <w:r>
              <w:rPr>
                <w:rFonts w:ascii="宋体" w:hAnsi="宋体"/>
              </w:rPr>
              <w:t>002815</w:t>
            </w:r>
          </w:p>
        </w:tc>
        <w:tc>
          <w:tcPr>
            <w:tcW w:w="1485" w:type="dxa"/>
            <w:vAlign w:val="center"/>
          </w:tcPr>
          <w:p w14:paraId="49321850" w14:textId="77777777" w:rsidR="00B76D75" w:rsidRDefault="00B76D75" w:rsidP="00C826D7">
            <w:pPr>
              <w:jc w:val="center"/>
              <w:rPr>
                <w:rFonts w:ascii="宋体" w:hAnsi="宋体"/>
              </w:rPr>
            </w:pPr>
            <w:r>
              <w:rPr>
                <w:rFonts w:ascii="宋体" w:hAnsi="宋体"/>
              </w:rPr>
              <w:t>崇达技术</w:t>
            </w:r>
          </w:p>
        </w:tc>
        <w:tc>
          <w:tcPr>
            <w:tcW w:w="1795" w:type="dxa"/>
            <w:vAlign w:val="center"/>
          </w:tcPr>
          <w:p w14:paraId="21DBA349" w14:textId="77777777" w:rsidR="00B76D75" w:rsidRDefault="00B76D75" w:rsidP="00C826D7">
            <w:pPr>
              <w:jc w:val="right"/>
              <w:rPr>
                <w:rFonts w:ascii="宋体" w:hAnsi="宋体"/>
              </w:rPr>
            </w:pPr>
            <w:r>
              <w:rPr>
                <w:rFonts w:ascii="宋体" w:hAnsi="宋体"/>
              </w:rPr>
              <w:t>56,155.33</w:t>
            </w:r>
          </w:p>
        </w:tc>
        <w:tc>
          <w:tcPr>
            <w:tcW w:w="1430" w:type="dxa"/>
            <w:vAlign w:val="center"/>
          </w:tcPr>
          <w:p w14:paraId="0213E26B" w14:textId="77777777" w:rsidR="00B76D75" w:rsidRDefault="00B76D75" w:rsidP="00C826D7">
            <w:pPr>
              <w:jc w:val="right"/>
              <w:rPr>
                <w:rFonts w:ascii="宋体" w:hAnsi="宋体"/>
              </w:rPr>
            </w:pPr>
            <w:r>
              <w:rPr>
                <w:rFonts w:ascii="宋体" w:hAnsi="宋体"/>
              </w:rPr>
              <w:t>0.01</w:t>
            </w:r>
          </w:p>
        </w:tc>
        <w:tc>
          <w:tcPr>
            <w:tcW w:w="1980" w:type="dxa"/>
            <w:vAlign w:val="center"/>
          </w:tcPr>
          <w:p w14:paraId="4FE1CD81" w14:textId="77777777" w:rsidR="00B76D75" w:rsidRDefault="00B76D75" w:rsidP="00C826D7">
            <w:pPr>
              <w:jc w:val="center"/>
              <w:rPr>
                <w:rFonts w:ascii="宋体" w:hAnsi="宋体"/>
              </w:rPr>
            </w:pPr>
            <w:r>
              <w:rPr>
                <w:rFonts w:ascii="宋体" w:hAnsi="宋体"/>
              </w:rPr>
              <w:t>新股锁定</w:t>
            </w:r>
          </w:p>
        </w:tc>
      </w:tr>
      <w:tr w:rsidR="00B76D75" w14:paraId="62EF2DBF" w14:textId="77777777" w:rsidTr="00C826D7">
        <w:trPr>
          <w:trHeight w:val="344"/>
        </w:trPr>
        <w:tc>
          <w:tcPr>
            <w:tcW w:w="648" w:type="dxa"/>
            <w:vAlign w:val="center"/>
          </w:tcPr>
          <w:p w14:paraId="1E57D5A9" w14:textId="77777777" w:rsidR="00B76D75" w:rsidRDefault="00B76D75" w:rsidP="00C826D7">
            <w:pPr>
              <w:jc w:val="center"/>
              <w:rPr>
                <w:rFonts w:ascii="宋体" w:hAnsi="宋体"/>
              </w:rPr>
            </w:pPr>
            <w:r>
              <w:rPr>
                <w:rFonts w:ascii="宋体" w:hAnsi="宋体"/>
              </w:rPr>
              <w:t>4</w:t>
            </w:r>
          </w:p>
        </w:tc>
        <w:tc>
          <w:tcPr>
            <w:tcW w:w="1731" w:type="dxa"/>
            <w:vAlign w:val="center"/>
          </w:tcPr>
          <w:p w14:paraId="2AAC73B6" w14:textId="77777777" w:rsidR="00B76D75" w:rsidRDefault="00B76D75" w:rsidP="00C826D7">
            <w:pPr>
              <w:jc w:val="center"/>
              <w:rPr>
                <w:rFonts w:ascii="宋体" w:hAnsi="宋体"/>
              </w:rPr>
            </w:pPr>
            <w:r>
              <w:rPr>
                <w:rFonts w:ascii="宋体" w:hAnsi="宋体"/>
              </w:rPr>
              <w:t>603777</w:t>
            </w:r>
          </w:p>
        </w:tc>
        <w:tc>
          <w:tcPr>
            <w:tcW w:w="1485" w:type="dxa"/>
            <w:vAlign w:val="center"/>
          </w:tcPr>
          <w:p w14:paraId="34DFD340" w14:textId="77777777" w:rsidR="00B76D75" w:rsidRDefault="00B76D75" w:rsidP="00C826D7">
            <w:pPr>
              <w:jc w:val="center"/>
              <w:rPr>
                <w:rFonts w:ascii="宋体" w:hAnsi="宋体"/>
              </w:rPr>
            </w:pPr>
            <w:r>
              <w:rPr>
                <w:rFonts w:ascii="宋体" w:hAnsi="宋体"/>
              </w:rPr>
              <w:t>来伊份</w:t>
            </w:r>
          </w:p>
        </w:tc>
        <w:tc>
          <w:tcPr>
            <w:tcW w:w="1795" w:type="dxa"/>
            <w:vAlign w:val="center"/>
          </w:tcPr>
          <w:p w14:paraId="09B818B1" w14:textId="77777777" w:rsidR="00B76D75" w:rsidRDefault="00B76D75" w:rsidP="00C826D7">
            <w:pPr>
              <w:jc w:val="right"/>
              <w:rPr>
                <w:rFonts w:ascii="宋体" w:hAnsi="宋体"/>
              </w:rPr>
            </w:pPr>
            <w:r>
              <w:rPr>
                <w:rFonts w:ascii="宋体" w:hAnsi="宋体"/>
              </w:rPr>
              <w:t>47,345.19</w:t>
            </w:r>
          </w:p>
        </w:tc>
        <w:tc>
          <w:tcPr>
            <w:tcW w:w="1430" w:type="dxa"/>
            <w:vAlign w:val="center"/>
          </w:tcPr>
          <w:p w14:paraId="7697FAFD" w14:textId="77777777" w:rsidR="00B76D75" w:rsidRDefault="00B76D75" w:rsidP="00C826D7">
            <w:pPr>
              <w:jc w:val="right"/>
              <w:rPr>
                <w:rFonts w:ascii="宋体" w:hAnsi="宋体"/>
              </w:rPr>
            </w:pPr>
            <w:r>
              <w:rPr>
                <w:rFonts w:ascii="宋体" w:hAnsi="宋体"/>
              </w:rPr>
              <w:t>0.01</w:t>
            </w:r>
          </w:p>
        </w:tc>
        <w:tc>
          <w:tcPr>
            <w:tcW w:w="1980" w:type="dxa"/>
            <w:vAlign w:val="center"/>
          </w:tcPr>
          <w:p w14:paraId="3F84C10F" w14:textId="77777777" w:rsidR="00B76D75" w:rsidRDefault="00B76D75" w:rsidP="00C826D7">
            <w:pPr>
              <w:jc w:val="center"/>
              <w:rPr>
                <w:rFonts w:ascii="宋体" w:hAnsi="宋体"/>
              </w:rPr>
            </w:pPr>
            <w:r>
              <w:rPr>
                <w:rFonts w:ascii="宋体" w:hAnsi="宋体"/>
              </w:rPr>
              <w:t>新股锁定</w:t>
            </w:r>
          </w:p>
        </w:tc>
      </w:tr>
      <w:tr w:rsidR="00B76D75" w14:paraId="61EE16A5" w14:textId="77777777" w:rsidTr="00C826D7">
        <w:trPr>
          <w:trHeight w:val="344"/>
        </w:trPr>
        <w:tc>
          <w:tcPr>
            <w:tcW w:w="648" w:type="dxa"/>
            <w:vAlign w:val="center"/>
          </w:tcPr>
          <w:p w14:paraId="0CBAD54D" w14:textId="77777777" w:rsidR="00B76D75" w:rsidRDefault="00B76D75" w:rsidP="00C826D7">
            <w:pPr>
              <w:jc w:val="center"/>
              <w:rPr>
                <w:rFonts w:ascii="宋体" w:hAnsi="宋体"/>
              </w:rPr>
            </w:pPr>
            <w:r>
              <w:rPr>
                <w:rFonts w:ascii="宋体" w:hAnsi="宋体"/>
              </w:rPr>
              <w:t>5</w:t>
            </w:r>
          </w:p>
        </w:tc>
        <w:tc>
          <w:tcPr>
            <w:tcW w:w="1731" w:type="dxa"/>
            <w:vAlign w:val="center"/>
          </w:tcPr>
          <w:p w14:paraId="7695A770" w14:textId="77777777" w:rsidR="00B76D75" w:rsidRDefault="00B76D75" w:rsidP="00C826D7">
            <w:pPr>
              <w:jc w:val="center"/>
              <w:rPr>
                <w:rFonts w:ascii="宋体" w:hAnsi="宋体"/>
              </w:rPr>
            </w:pPr>
            <w:r>
              <w:rPr>
                <w:rFonts w:ascii="宋体" w:hAnsi="宋体"/>
              </w:rPr>
              <w:t>300548</w:t>
            </w:r>
          </w:p>
        </w:tc>
        <w:tc>
          <w:tcPr>
            <w:tcW w:w="1485" w:type="dxa"/>
            <w:vAlign w:val="center"/>
          </w:tcPr>
          <w:p w14:paraId="664563EE" w14:textId="77777777" w:rsidR="00B76D75" w:rsidRDefault="00B76D75" w:rsidP="00C826D7">
            <w:pPr>
              <w:jc w:val="center"/>
              <w:rPr>
                <w:rFonts w:ascii="宋体" w:hAnsi="宋体"/>
              </w:rPr>
            </w:pPr>
            <w:r>
              <w:rPr>
                <w:rFonts w:ascii="宋体" w:hAnsi="宋体"/>
              </w:rPr>
              <w:t>博创科技</w:t>
            </w:r>
          </w:p>
        </w:tc>
        <w:tc>
          <w:tcPr>
            <w:tcW w:w="1795" w:type="dxa"/>
            <w:vAlign w:val="center"/>
          </w:tcPr>
          <w:p w14:paraId="0F177F33" w14:textId="77777777" w:rsidR="00B76D75" w:rsidRDefault="00B76D75" w:rsidP="00C826D7">
            <w:pPr>
              <w:jc w:val="right"/>
              <w:rPr>
                <w:rFonts w:ascii="宋体" w:hAnsi="宋体"/>
              </w:rPr>
            </w:pPr>
            <w:r>
              <w:rPr>
                <w:rFonts w:ascii="宋体" w:hAnsi="宋体"/>
              </w:rPr>
              <w:t>35,567.25</w:t>
            </w:r>
          </w:p>
        </w:tc>
        <w:tc>
          <w:tcPr>
            <w:tcW w:w="1430" w:type="dxa"/>
            <w:vAlign w:val="center"/>
          </w:tcPr>
          <w:p w14:paraId="137783EC" w14:textId="77777777" w:rsidR="00B76D75" w:rsidRDefault="00B76D75" w:rsidP="00C826D7">
            <w:pPr>
              <w:jc w:val="right"/>
              <w:rPr>
                <w:rFonts w:ascii="宋体" w:hAnsi="宋体"/>
              </w:rPr>
            </w:pPr>
            <w:r>
              <w:rPr>
                <w:rFonts w:ascii="宋体" w:hAnsi="宋体"/>
              </w:rPr>
              <w:t>0.00</w:t>
            </w:r>
          </w:p>
        </w:tc>
        <w:tc>
          <w:tcPr>
            <w:tcW w:w="1980" w:type="dxa"/>
            <w:vAlign w:val="center"/>
          </w:tcPr>
          <w:p w14:paraId="6B0CB7A5" w14:textId="77777777" w:rsidR="00B76D75" w:rsidRDefault="00B76D75" w:rsidP="00C826D7">
            <w:pPr>
              <w:jc w:val="center"/>
              <w:rPr>
                <w:rFonts w:ascii="宋体" w:hAnsi="宋体"/>
              </w:rPr>
            </w:pPr>
            <w:r>
              <w:rPr>
                <w:rFonts w:ascii="宋体" w:hAnsi="宋体"/>
              </w:rPr>
              <w:t>新股锁定</w:t>
            </w:r>
          </w:p>
        </w:tc>
      </w:tr>
    </w:tbl>
    <w:bookmarkEnd w:id="192"/>
    <w:p w14:paraId="68AB5FCA"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lastRenderedPageBreak/>
        <w:t>（</w:t>
      </w:r>
      <w:r w:rsidRPr="00C6511B">
        <w:rPr>
          <w:rFonts w:ascii="宋体" w:hAnsi="宋体"/>
          <w:bCs/>
          <w:color w:val="000000"/>
          <w:sz w:val="24"/>
          <w:szCs w:val="24"/>
        </w:rPr>
        <w:t>6）投资组合报告附注的其他文字描述部分</w:t>
      </w:r>
    </w:p>
    <w:p w14:paraId="1186C3A5"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因四舍五入原因，投资组合报告中市值占资产或净值比例的分项之和与合计可能存在尾差。</w:t>
      </w:r>
    </w:p>
    <w:p w14:paraId="7A0C3CB2"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（十二）基金的业绩</w:t>
      </w:r>
    </w:p>
    <w:p w14:paraId="42817BDD" w14:textId="77777777" w:rsidR="00C00DE9" w:rsidRPr="00C6511B"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基金管理人依照恪尽职守、诚实信用、谨慎勤勉的原则管理和运用基金财产，但不保证基金一定盈利，也不保证最低收益。基金的过往业绩并不代表其未来表现。投资有风险，投资者在做出投资决策前应仔细阅读本基金的招募说明书。</w:t>
      </w:r>
    </w:p>
    <w:p w14:paraId="7C79A938" w14:textId="77777777" w:rsidR="00C00DE9" w:rsidRDefault="00C00DE9" w:rsidP="00C00DE9">
      <w:pPr>
        <w:spacing w:before="50" w:line="360" w:lineRule="auto"/>
        <w:jc w:val="right"/>
        <w:rPr>
          <w:rFonts w:hAnsi="宋体"/>
          <w:bCs/>
          <w:szCs w:val="24"/>
        </w:rPr>
      </w:pPr>
      <w:r w:rsidRPr="00C6511B">
        <w:rPr>
          <w:rFonts w:ascii="宋体" w:hAnsi="宋体" w:hint="eastAsia"/>
          <w:bCs/>
          <w:color w:val="000000"/>
          <w:sz w:val="24"/>
          <w:szCs w:val="24"/>
        </w:rPr>
        <w:t>（</w:t>
      </w:r>
      <w:r w:rsidRPr="00C6511B">
        <w:rPr>
          <w:rFonts w:ascii="宋体" w:hAnsi="宋体"/>
          <w:bCs/>
          <w:color w:val="000000"/>
          <w:sz w:val="24"/>
          <w:szCs w:val="24"/>
        </w:rPr>
        <w:t>1）本报告期基金份额净值增长率及其与同期业绩比较基准收益率的比较</w:t>
      </w:r>
    </w:p>
    <w:tbl>
      <w:tblPr>
        <w:tblW w:w="9030" w:type="dxa"/>
        <w:tblInd w:w="108" w:type="dxa"/>
        <w:tblLayout w:type="fixed"/>
        <w:tblLook w:val="0000" w:firstRow="0" w:lastRow="0" w:firstColumn="0" w:lastColumn="0" w:noHBand="0" w:noVBand="0"/>
      </w:tblPr>
      <w:tblGrid>
        <w:gridCol w:w="2528"/>
        <w:gridCol w:w="1084"/>
        <w:gridCol w:w="1084"/>
        <w:gridCol w:w="1083"/>
        <w:gridCol w:w="1084"/>
        <w:gridCol w:w="1083"/>
        <w:gridCol w:w="1084"/>
      </w:tblGrid>
      <w:tr w:rsidR="00C00DE9" w:rsidRPr="00F60BEC" w14:paraId="794ED266" w14:textId="77777777" w:rsidTr="00C826D7">
        <w:tc>
          <w:tcPr>
            <w:tcW w:w="2528" w:type="dxa"/>
            <w:tcBorders>
              <w:top w:val="single" w:sz="8" w:space="0" w:color="000000"/>
              <w:left w:val="single" w:sz="8" w:space="0" w:color="000000"/>
              <w:bottom w:val="single" w:sz="8" w:space="0" w:color="000000"/>
              <w:right w:val="single" w:sz="8" w:space="0" w:color="000000"/>
            </w:tcBorders>
            <w:vAlign w:val="center"/>
          </w:tcPr>
          <w:p w14:paraId="625DC4AD"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阶段</w:t>
            </w:r>
          </w:p>
        </w:tc>
        <w:tc>
          <w:tcPr>
            <w:tcW w:w="1084" w:type="dxa"/>
            <w:tcBorders>
              <w:top w:val="single" w:sz="8" w:space="0" w:color="000000"/>
              <w:left w:val="single" w:sz="8" w:space="0" w:color="000000"/>
              <w:bottom w:val="single" w:sz="8" w:space="0" w:color="000000"/>
              <w:right w:val="single" w:sz="8" w:space="0" w:color="000000"/>
            </w:tcBorders>
            <w:vAlign w:val="center"/>
          </w:tcPr>
          <w:p w14:paraId="424EFA16"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净值增长率①</w:t>
            </w:r>
          </w:p>
        </w:tc>
        <w:tc>
          <w:tcPr>
            <w:tcW w:w="1084" w:type="dxa"/>
            <w:tcBorders>
              <w:top w:val="single" w:sz="8" w:space="0" w:color="000000"/>
              <w:left w:val="single" w:sz="8" w:space="0" w:color="000000"/>
              <w:bottom w:val="single" w:sz="8" w:space="0" w:color="000000"/>
              <w:right w:val="single" w:sz="8" w:space="0" w:color="000000"/>
            </w:tcBorders>
            <w:vAlign w:val="center"/>
          </w:tcPr>
          <w:p w14:paraId="6ADD04A4"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净值增长率标准差②</w:t>
            </w:r>
          </w:p>
        </w:tc>
        <w:tc>
          <w:tcPr>
            <w:tcW w:w="1083" w:type="dxa"/>
            <w:tcBorders>
              <w:top w:val="single" w:sz="8" w:space="0" w:color="000000"/>
              <w:left w:val="single" w:sz="8" w:space="0" w:color="000000"/>
              <w:bottom w:val="single" w:sz="8" w:space="0" w:color="000000"/>
              <w:right w:val="single" w:sz="8" w:space="0" w:color="000000"/>
            </w:tcBorders>
            <w:vAlign w:val="center"/>
          </w:tcPr>
          <w:p w14:paraId="3C0801F0"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业绩比较基准收益率③</w:t>
            </w:r>
          </w:p>
        </w:tc>
        <w:tc>
          <w:tcPr>
            <w:tcW w:w="1084" w:type="dxa"/>
            <w:tcBorders>
              <w:top w:val="single" w:sz="8" w:space="0" w:color="000000"/>
              <w:left w:val="single" w:sz="8" w:space="0" w:color="000000"/>
              <w:bottom w:val="single" w:sz="8" w:space="0" w:color="000000"/>
              <w:right w:val="single" w:sz="8" w:space="0" w:color="000000"/>
            </w:tcBorders>
            <w:vAlign w:val="center"/>
          </w:tcPr>
          <w:p w14:paraId="1A3F1F7E"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业绩比较基准收益率标准差④</w:t>
            </w:r>
          </w:p>
        </w:tc>
        <w:tc>
          <w:tcPr>
            <w:tcW w:w="1083" w:type="dxa"/>
            <w:tcBorders>
              <w:top w:val="single" w:sz="8" w:space="0" w:color="000000"/>
              <w:left w:val="single" w:sz="8" w:space="0" w:color="000000"/>
              <w:bottom w:val="single" w:sz="8" w:space="0" w:color="000000"/>
              <w:right w:val="single" w:sz="8" w:space="0" w:color="000000"/>
            </w:tcBorders>
            <w:vAlign w:val="center"/>
          </w:tcPr>
          <w:p w14:paraId="02A7ED4F"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①</w:t>
            </w:r>
            <w:r w:rsidRPr="00F60BEC">
              <w:rPr>
                <w:rFonts w:asciiTheme="minorEastAsia" w:hAnsiTheme="minorEastAsia"/>
                <w:color w:val="000000"/>
                <w:kern w:val="0"/>
                <w:sz w:val="24"/>
                <w:szCs w:val="24"/>
              </w:rPr>
              <w:t>-</w:t>
            </w:r>
            <w:r w:rsidRPr="00F60BEC">
              <w:rPr>
                <w:rFonts w:asciiTheme="minorEastAsia" w:hAnsiTheme="minorEastAsia" w:hint="eastAsia"/>
                <w:color w:val="000000"/>
                <w:kern w:val="0"/>
                <w:sz w:val="24"/>
                <w:szCs w:val="24"/>
              </w:rPr>
              <w:t>③</w:t>
            </w:r>
          </w:p>
        </w:tc>
        <w:tc>
          <w:tcPr>
            <w:tcW w:w="1084" w:type="dxa"/>
            <w:tcBorders>
              <w:top w:val="single" w:sz="8" w:space="0" w:color="000000"/>
              <w:left w:val="single" w:sz="8" w:space="0" w:color="000000"/>
              <w:bottom w:val="single" w:sz="8" w:space="0" w:color="000000"/>
              <w:right w:val="single" w:sz="8" w:space="0" w:color="000000"/>
            </w:tcBorders>
            <w:vAlign w:val="center"/>
          </w:tcPr>
          <w:p w14:paraId="7F479C94" w14:textId="77777777" w:rsidR="00C00DE9" w:rsidRPr="00F60BEC" w:rsidRDefault="00C00DE9" w:rsidP="00C826D7">
            <w:pPr>
              <w:autoSpaceDE w:val="0"/>
              <w:autoSpaceDN w:val="0"/>
              <w:adjustRightInd w:val="0"/>
              <w:spacing w:before="30" w:line="288" w:lineRule="auto"/>
              <w:ind w:left="15"/>
              <w:jc w:val="center"/>
              <w:rPr>
                <w:rFonts w:asciiTheme="minorEastAsia" w:hAnsiTheme="minorEastAsia"/>
                <w:color w:val="000000"/>
                <w:kern w:val="0"/>
                <w:sz w:val="24"/>
                <w:szCs w:val="24"/>
              </w:rPr>
            </w:pPr>
            <w:r w:rsidRPr="00F60BEC">
              <w:rPr>
                <w:rFonts w:asciiTheme="minorEastAsia" w:hAnsiTheme="minorEastAsia" w:hint="eastAsia"/>
                <w:color w:val="000000"/>
                <w:kern w:val="0"/>
                <w:sz w:val="24"/>
                <w:szCs w:val="24"/>
              </w:rPr>
              <w:t>②</w:t>
            </w:r>
            <w:r w:rsidRPr="00F60BEC">
              <w:rPr>
                <w:rFonts w:asciiTheme="minorEastAsia" w:hAnsiTheme="minorEastAsia"/>
                <w:color w:val="000000"/>
                <w:kern w:val="0"/>
                <w:sz w:val="24"/>
                <w:szCs w:val="24"/>
              </w:rPr>
              <w:t>-</w:t>
            </w:r>
            <w:r w:rsidRPr="00F60BEC">
              <w:rPr>
                <w:rFonts w:asciiTheme="minorEastAsia" w:hAnsiTheme="minorEastAsia" w:hint="eastAsia"/>
                <w:color w:val="000000"/>
                <w:kern w:val="0"/>
                <w:sz w:val="24"/>
                <w:szCs w:val="24"/>
              </w:rPr>
              <w:t>④</w:t>
            </w:r>
          </w:p>
        </w:tc>
      </w:tr>
      <w:tr w:rsidR="00EC6B86" w:rsidRPr="00F60BEC" w14:paraId="79C288E0" w14:textId="77777777" w:rsidTr="00725F28">
        <w:tc>
          <w:tcPr>
            <w:tcW w:w="2528" w:type="dxa"/>
            <w:tcBorders>
              <w:top w:val="single" w:sz="8" w:space="0" w:color="000000"/>
              <w:left w:val="single" w:sz="8" w:space="0" w:color="000000"/>
              <w:bottom w:val="single" w:sz="8" w:space="0" w:color="000000"/>
              <w:right w:val="single" w:sz="8" w:space="0" w:color="000000"/>
            </w:tcBorders>
            <w:vAlign w:val="center"/>
          </w:tcPr>
          <w:p w14:paraId="466F54C7" w14:textId="19C2C17D" w:rsidR="00EC6B86" w:rsidRPr="00F60BEC" w:rsidRDefault="00EC6B86" w:rsidP="00EC6B86">
            <w:pPr>
              <w:autoSpaceDE w:val="0"/>
              <w:autoSpaceDN w:val="0"/>
              <w:adjustRightInd w:val="0"/>
              <w:spacing w:before="30" w:line="288" w:lineRule="auto"/>
              <w:ind w:left="15"/>
              <w:jc w:val="left"/>
              <w:rPr>
                <w:rFonts w:asciiTheme="minorEastAsia" w:hAnsiTheme="minorEastAsia"/>
                <w:color w:val="000000"/>
                <w:kern w:val="0"/>
                <w:sz w:val="24"/>
                <w:szCs w:val="24"/>
              </w:rPr>
            </w:pPr>
            <w:r>
              <w:rPr>
                <w:rFonts w:asciiTheme="minorEastAsia" w:hAnsiTheme="minorEastAsia" w:hint="eastAsia"/>
                <w:color w:val="000000"/>
                <w:kern w:val="0"/>
                <w:sz w:val="24"/>
                <w:szCs w:val="24"/>
              </w:rPr>
              <w:t>2</w:t>
            </w:r>
            <w:r>
              <w:rPr>
                <w:rFonts w:asciiTheme="minorEastAsia" w:hAnsiTheme="minorEastAsia"/>
                <w:color w:val="000000"/>
                <w:kern w:val="0"/>
                <w:sz w:val="24"/>
                <w:szCs w:val="24"/>
              </w:rPr>
              <w:t>016.5.11-2016.9.30</w:t>
            </w:r>
          </w:p>
        </w:tc>
        <w:tc>
          <w:tcPr>
            <w:tcW w:w="1084" w:type="dxa"/>
            <w:tcBorders>
              <w:top w:val="single" w:sz="8" w:space="0" w:color="000000"/>
              <w:left w:val="single" w:sz="8" w:space="0" w:color="000000"/>
              <w:bottom w:val="single" w:sz="8" w:space="0" w:color="000000"/>
              <w:right w:val="single" w:sz="8" w:space="0" w:color="000000"/>
            </w:tcBorders>
          </w:tcPr>
          <w:p w14:paraId="38142711" w14:textId="56C9D114" w:rsidR="00EC6B86" w:rsidRPr="00F60BEC" w:rsidRDefault="00B70474" w:rsidP="00EC6B86">
            <w:pPr>
              <w:autoSpaceDE w:val="0"/>
              <w:autoSpaceDN w:val="0"/>
              <w:adjustRightInd w:val="0"/>
              <w:spacing w:before="30" w:line="288" w:lineRule="auto"/>
              <w:ind w:left="15"/>
              <w:jc w:val="center"/>
              <w:rPr>
                <w:rFonts w:asciiTheme="minorEastAsia" w:hAnsiTheme="minorEastAsia"/>
                <w:color w:val="000000"/>
                <w:kern w:val="0"/>
                <w:sz w:val="24"/>
                <w:szCs w:val="24"/>
              </w:rPr>
            </w:pPr>
            <w:r>
              <w:rPr>
                <w:rFonts w:asciiTheme="minorEastAsia" w:hAnsiTheme="minorEastAsia"/>
                <w:color w:val="000000"/>
                <w:kern w:val="0"/>
                <w:sz w:val="24"/>
                <w:szCs w:val="24"/>
              </w:rPr>
              <w:t>3.64%</w:t>
            </w:r>
          </w:p>
        </w:tc>
        <w:tc>
          <w:tcPr>
            <w:tcW w:w="1084" w:type="dxa"/>
            <w:tcBorders>
              <w:top w:val="single" w:sz="8" w:space="0" w:color="000000"/>
              <w:left w:val="single" w:sz="8" w:space="0" w:color="000000"/>
              <w:bottom w:val="single" w:sz="8" w:space="0" w:color="000000"/>
              <w:right w:val="single" w:sz="8" w:space="0" w:color="000000"/>
            </w:tcBorders>
          </w:tcPr>
          <w:p w14:paraId="782B89AB" w14:textId="42CEA287" w:rsidR="00EC6B86" w:rsidRPr="00F60BEC" w:rsidRDefault="00AA173F" w:rsidP="00EC6B86">
            <w:pPr>
              <w:autoSpaceDE w:val="0"/>
              <w:autoSpaceDN w:val="0"/>
              <w:adjustRightInd w:val="0"/>
              <w:spacing w:before="30" w:line="288" w:lineRule="auto"/>
              <w:ind w:left="15"/>
              <w:jc w:val="center"/>
              <w:rPr>
                <w:rFonts w:asciiTheme="minorEastAsia" w:hAnsiTheme="minorEastAsia"/>
                <w:color w:val="000000"/>
                <w:kern w:val="0"/>
                <w:sz w:val="24"/>
                <w:szCs w:val="24"/>
              </w:rPr>
            </w:pPr>
            <w:r>
              <w:rPr>
                <w:rFonts w:asciiTheme="minorEastAsia" w:hAnsiTheme="minorEastAsia"/>
                <w:color w:val="000000"/>
                <w:kern w:val="0"/>
                <w:sz w:val="24"/>
                <w:szCs w:val="24"/>
              </w:rPr>
              <w:t>0.11%</w:t>
            </w:r>
          </w:p>
        </w:tc>
        <w:tc>
          <w:tcPr>
            <w:tcW w:w="1083" w:type="dxa"/>
            <w:tcBorders>
              <w:top w:val="single" w:sz="8" w:space="0" w:color="000000"/>
              <w:left w:val="single" w:sz="8" w:space="0" w:color="000000"/>
              <w:bottom w:val="single" w:sz="8" w:space="0" w:color="000000"/>
              <w:right w:val="single" w:sz="8" w:space="0" w:color="000000"/>
            </w:tcBorders>
          </w:tcPr>
          <w:p w14:paraId="394D64CD" w14:textId="5B408E6B" w:rsidR="00EC6B86" w:rsidRPr="00F60BEC" w:rsidRDefault="00B70474" w:rsidP="00EC6B86">
            <w:pPr>
              <w:autoSpaceDE w:val="0"/>
              <w:autoSpaceDN w:val="0"/>
              <w:adjustRightInd w:val="0"/>
              <w:spacing w:before="30" w:line="288" w:lineRule="auto"/>
              <w:ind w:left="15"/>
              <w:jc w:val="center"/>
              <w:rPr>
                <w:rFonts w:asciiTheme="minorEastAsia" w:hAnsiTheme="minorEastAsia"/>
                <w:color w:val="000000"/>
                <w:kern w:val="0"/>
                <w:sz w:val="24"/>
                <w:szCs w:val="24"/>
              </w:rPr>
            </w:pPr>
            <w:r>
              <w:rPr>
                <w:rFonts w:asciiTheme="minorEastAsia" w:hAnsiTheme="minorEastAsia"/>
                <w:color w:val="000000"/>
                <w:kern w:val="0"/>
                <w:sz w:val="24"/>
                <w:szCs w:val="24"/>
              </w:rPr>
              <w:t>3.64%</w:t>
            </w:r>
          </w:p>
        </w:tc>
        <w:tc>
          <w:tcPr>
            <w:tcW w:w="1084" w:type="dxa"/>
            <w:tcBorders>
              <w:top w:val="single" w:sz="8" w:space="0" w:color="000000"/>
              <w:left w:val="single" w:sz="8" w:space="0" w:color="000000"/>
              <w:bottom w:val="single" w:sz="8" w:space="0" w:color="000000"/>
              <w:right w:val="single" w:sz="8" w:space="0" w:color="000000"/>
            </w:tcBorders>
          </w:tcPr>
          <w:p w14:paraId="6920D3BA" w14:textId="7494165E" w:rsidR="00EC6B86" w:rsidRPr="00F60BEC" w:rsidRDefault="00B70474" w:rsidP="00EC6B86">
            <w:pPr>
              <w:autoSpaceDE w:val="0"/>
              <w:autoSpaceDN w:val="0"/>
              <w:adjustRightInd w:val="0"/>
              <w:spacing w:before="30" w:line="288" w:lineRule="auto"/>
              <w:ind w:left="15"/>
              <w:jc w:val="center"/>
              <w:rPr>
                <w:rFonts w:asciiTheme="minorEastAsia" w:hAnsiTheme="minorEastAsia"/>
                <w:color w:val="000000"/>
                <w:kern w:val="0"/>
                <w:sz w:val="24"/>
                <w:szCs w:val="24"/>
              </w:rPr>
            </w:pPr>
            <w:r>
              <w:rPr>
                <w:rFonts w:asciiTheme="minorEastAsia" w:hAnsiTheme="minorEastAsia"/>
                <w:color w:val="000000"/>
                <w:kern w:val="0"/>
                <w:sz w:val="24"/>
                <w:szCs w:val="24"/>
              </w:rPr>
              <w:t>0.43%</w:t>
            </w:r>
          </w:p>
        </w:tc>
        <w:tc>
          <w:tcPr>
            <w:tcW w:w="1083" w:type="dxa"/>
            <w:tcBorders>
              <w:top w:val="single" w:sz="8" w:space="0" w:color="000000"/>
              <w:left w:val="single" w:sz="8" w:space="0" w:color="000000"/>
              <w:bottom w:val="single" w:sz="8" w:space="0" w:color="000000"/>
              <w:right w:val="single" w:sz="8" w:space="0" w:color="000000"/>
            </w:tcBorders>
          </w:tcPr>
          <w:p w14:paraId="2B677CCF" w14:textId="166A030B" w:rsidR="00EC6B86" w:rsidRPr="00F60BEC" w:rsidRDefault="00B70474" w:rsidP="00EC6B86">
            <w:pPr>
              <w:autoSpaceDE w:val="0"/>
              <w:autoSpaceDN w:val="0"/>
              <w:adjustRightInd w:val="0"/>
              <w:spacing w:before="30" w:line="288" w:lineRule="auto"/>
              <w:ind w:left="15"/>
              <w:jc w:val="center"/>
              <w:rPr>
                <w:rFonts w:asciiTheme="minorEastAsia" w:hAnsiTheme="minorEastAsia"/>
                <w:color w:val="000000"/>
                <w:kern w:val="0"/>
                <w:sz w:val="24"/>
                <w:szCs w:val="24"/>
              </w:rPr>
            </w:pPr>
            <w:r>
              <w:rPr>
                <w:rFonts w:asciiTheme="minorEastAsia" w:hAnsiTheme="minorEastAsia"/>
                <w:color w:val="000000"/>
                <w:kern w:val="0"/>
                <w:sz w:val="24"/>
                <w:szCs w:val="24"/>
              </w:rPr>
              <w:t>0.00%</w:t>
            </w:r>
          </w:p>
        </w:tc>
        <w:tc>
          <w:tcPr>
            <w:tcW w:w="1084" w:type="dxa"/>
            <w:tcBorders>
              <w:top w:val="single" w:sz="8" w:space="0" w:color="000000"/>
              <w:left w:val="single" w:sz="8" w:space="0" w:color="000000"/>
              <w:bottom w:val="single" w:sz="8" w:space="0" w:color="000000"/>
              <w:right w:val="single" w:sz="8" w:space="0" w:color="000000"/>
            </w:tcBorders>
          </w:tcPr>
          <w:p w14:paraId="3C2BDCCD" w14:textId="0C3DFB07" w:rsidR="00EC6B86" w:rsidRPr="00F60BEC" w:rsidRDefault="00FA6139" w:rsidP="00EC6B86">
            <w:pPr>
              <w:autoSpaceDE w:val="0"/>
              <w:autoSpaceDN w:val="0"/>
              <w:adjustRightInd w:val="0"/>
              <w:spacing w:before="30" w:line="288" w:lineRule="auto"/>
              <w:ind w:left="15"/>
              <w:jc w:val="center"/>
              <w:rPr>
                <w:rFonts w:asciiTheme="minorEastAsia" w:hAnsiTheme="minorEastAsia"/>
                <w:color w:val="000000"/>
                <w:kern w:val="0"/>
                <w:sz w:val="24"/>
                <w:szCs w:val="24"/>
              </w:rPr>
            </w:pPr>
            <w:r>
              <w:rPr>
                <w:rFonts w:asciiTheme="minorEastAsia" w:hAnsiTheme="minorEastAsia"/>
                <w:color w:val="000000"/>
                <w:kern w:val="0"/>
                <w:sz w:val="24"/>
                <w:szCs w:val="24"/>
              </w:rPr>
              <w:t>-0.32</w:t>
            </w:r>
            <w:r w:rsidR="00B70474">
              <w:rPr>
                <w:rFonts w:asciiTheme="minorEastAsia" w:hAnsiTheme="minorEastAsia"/>
                <w:color w:val="000000"/>
                <w:kern w:val="0"/>
                <w:sz w:val="24"/>
                <w:szCs w:val="24"/>
              </w:rPr>
              <w:t>%</w:t>
            </w:r>
          </w:p>
        </w:tc>
      </w:tr>
    </w:tbl>
    <w:p w14:paraId="3709E280" w14:textId="644E0070" w:rsidR="00C00DE9" w:rsidRPr="00C6511B" w:rsidRDefault="00C00DE9" w:rsidP="00C00DE9">
      <w:pPr>
        <w:spacing w:before="50" w:line="360" w:lineRule="auto"/>
        <w:ind w:firstLineChars="200" w:firstLine="480"/>
        <w:rPr>
          <w:rFonts w:hAnsi="宋体"/>
          <w:b/>
          <w:bCs/>
          <w:szCs w:val="24"/>
        </w:rPr>
      </w:pPr>
      <w:r w:rsidRPr="00C6511B">
        <w:rPr>
          <w:rFonts w:ascii="宋体" w:hAnsi="宋体" w:hint="eastAsia"/>
          <w:bCs/>
          <w:color w:val="000000"/>
          <w:sz w:val="24"/>
          <w:szCs w:val="24"/>
        </w:rPr>
        <w:t>注：本基金的业绩比较基准：</w:t>
      </w:r>
      <w:r w:rsidR="00B76D75" w:rsidRPr="00B76D75">
        <w:rPr>
          <w:rFonts w:ascii="宋体" w:hAnsi="宋体" w:hint="eastAsia"/>
          <w:sz w:val="24"/>
        </w:rPr>
        <w:t>沪深300指数收益率×50%＋中债综合指数收益率×50%</w:t>
      </w:r>
      <w:r w:rsidRPr="00C6511B">
        <w:rPr>
          <w:rFonts w:ascii="宋体" w:hAnsi="宋体" w:hint="eastAsia"/>
          <w:bCs/>
          <w:color w:val="000000"/>
          <w:sz w:val="24"/>
          <w:szCs w:val="24"/>
        </w:rPr>
        <w:t>。由于基金资产配置比例处于动态变化的过程中，需要通过再平衡来使资产的配置比例符合基金合同要求，基准指数每日按照</w:t>
      </w:r>
      <w:r w:rsidRPr="00C6511B">
        <w:rPr>
          <w:rFonts w:ascii="宋体" w:hAnsi="宋体"/>
          <w:bCs/>
          <w:color w:val="000000"/>
          <w:sz w:val="24"/>
          <w:szCs w:val="24"/>
        </w:rPr>
        <w:t>75%</w:t>
      </w:r>
      <w:r w:rsidRPr="00C6511B">
        <w:rPr>
          <w:rFonts w:ascii="宋体" w:hAnsi="宋体" w:hint="eastAsia"/>
          <w:bCs/>
          <w:color w:val="000000"/>
          <w:sz w:val="24"/>
          <w:szCs w:val="24"/>
        </w:rPr>
        <w:t>、</w:t>
      </w:r>
      <w:r w:rsidRPr="00C6511B">
        <w:rPr>
          <w:rFonts w:ascii="宋体" w:hAnsi="宋体"/>
          <w:bCs/>
          <w:color w:val="000000"/>
          <w:sz w:val="24"/>
          <w:szCs w:val="24"/>
        </w:rPr>
        <w:t>25%</w:t>
      </w:r>
      <w:r w:rsidRPr="00C6511B">
        <w:rPr>
          <w:rFonts w:ascii="宋体" w:hAnsi="宋体" w:hint="eastAsia"/>
          <w:bCs/>
          <w:color w:val="000000"/>
          <w:sz w:val="24"/>
          <w:szCs w:val="24"/>
        </w:rPr>
        <w:t>的比例采取再平衡，再用每日连乘的计算方式得到基准指数的时间序列。</w:t>
      </w:r>
    </w:p>
    <w:p w14:paraId="11431C59" w14:textId="77777777" w:rsidR="00C00DE9"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w:t>
      </w:r>
      <w:r w:rsidRPr="00C6511B">
        <w:rPr>
          <w:rFonts w:ascii="宋体" w:hAnsi="宋体"/>
          <w:bCs/>
          <w:color w:val="000000"/>
          <w:sz w:val="24"/>
          <w:szCs w:val="24"/>
        </w:rPr>
        <w:t>2）自基金合同生效以来基金份额累计净值增长率变动及其与同期业绩比较基准收益率变动的比较</w:t>
      </w:r>
    </w:p>
    <w:p w14:paraId="56A33F9F" w14:textId="7A2E256A" w:rsidR="00C00DE9" w:rsidRPr="00C6511B" w:rsidRDefault="00C4388B" w:rsidP="00725F28">
      <w:pPr>
        <w:spacing w:before="50" w:line="360" w:lineRule="auto"/>
        <w:rPr>
          <w:rFonts w:ascii="宋体" w:hAnsi="宋体"/>
          <w:bCs/>
          <w:color w:val="000000"/>
          <w:sz w:val="24"/>
          <w:szCs w:val="24"/>
        </w:rPr>
      </w:pPr>
      <w:r>
        <w:rPr>
          <w:rFonts w:ascii="宋体" w:cs="宋体"/>
          <w:noProof/>
          <w:color w:val="000000"/>
          <w:kern w:val="0"/>
        </w:rPr>
        <w:lastRenderedPageBreak/>
        <w:drawing>
          <wp:inline distT="0" distB="0" distL="0" distR="0" wp14:anchorId="11EF7DFF" wp14:editId="0DAB281A">
            <wp:extent cx="5619750" cy="4533900"/>
            <wp:effectExtent l="0" t="0" r="0" b="0"/>
            <wp:docPr id="1" name="图片 1" descr="http://172.20.0.143:8080/XBRL/temp/CN_50630000_002076_FB030030_201600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72.20.0.143:8080/XBRL/temp/CN_50630000_002076_FB030030_20160002_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9750" cy="4533900"/>
                    </a:xfrm>
                    <a:prstGeom prst="rect">
                      <a:avLst/>
                    </a:prstGeom>
                    <a:noFill/>
                    <a:ln>
                      <a:noFill/>
                    </a:ln>
                  </pic:spPr>
                </pic:pic>
              </a:graphicData>
            </a:graphic>
          </wp:inline>
        </w:drawing>
      </w:r>
    </w:p>
    <w:p w14:paraId="792CCF13" w14:textId="77777777" w:rsidR="00C00DE9" w:rsidRDefault="00C00DE9" w:rsidP="00C00DE9">
      <w:pPr>
        <w:spacing w:before="50" w:line="360" w:lineRule="auto"/>
        <w:ind w:firstLineChars="200" w:firstLine="480"/>
        <w:rPr>
          <w:rFonts w:ascii="宋体" w:hAnsi="宋体"/>
          <w:bCs/>
          <w:color w:val="000000"/>
          <w:sz w:val="24"/>
          <w:szCs w:val="24"/>
        </w:rPr>
      </w:pPr>
      <w:r w:rsidRPr="00C6511B">
        <w:rPr>
          <w:rFonts w:ascii="宋体" w:hAnsi="宋体" w:hint="eastAsia"/>
          <w:bCs/>
          <w:color w:val="000000"/>
          <w:sz w:val="24"/>
          <w:szCs w:val="24"/>
        </w:rPr>
        <w:t>注：</w:t>
      </w:r>
      <w:r>
        <w:rPr>
          <w:rFonts w:ascii="宋体" w:hAnsi="宋体" w:hint="eastAsia"/>
          <w:bCs/>
          <w:color w:val="000000"/>
          <w:sz w:val="24"/>
          <w:szCs w:val="24"/>
        </w:rPr>
        <w:t>1</w:t>
      </w:r>
      <w:r>
        <w:rPr>
          <w:rFonts w:ascii="宋体" w:hAnsi="宋体"/>
          <w:bCs/>
          <w:color w:val="000000"/>
          <w:sz w:val="24"/>
          <w:szCs w:val="24"/>
        </w:rPr>
        <w:t>.</w:t>
      </w:r>
      <w:r w:rsidRPr="00C6511B">
        <w:rPr>
          <w:rFonts w:ascii="宋体" w:hAnsi="宋体" w:hint="eastAsia"/>
          <w:bCs/>
          <w:color w:val="000000"/>
          <w:sz w:val="24"/>
          <w:szCs w:val="24"/>
        </w:rPr>
        <w:t>本基金基金合同生效日为</w:t>
      </w:r>
      <w:r w:rsidRPr="00C6511B">
        <w:rPr>
          <w:rFonts w:ascii="宋体" w:hAnsi="宋体"/>
          <w:bCs/>
          <w:color w:val="000000"/>
          <w:sz w:val="24"/>
          <w:szCs w:val="24"/>
        </w:rPr>
        <w:t>201</w:t>
      </w:r>
      <w:r>
        <w:rPr>
          <w:rFonts w:ascii="宋体" w:hAnsi="宋体"/>
          <w:bCs/>
          <w:color w:val="000000"/>
          <w:sz w:val="24"/>
          <w:szCs w:val="24"/>
        </w:rPr>
        <w:t>6</w:t>
      </w:r>
      <w:r w:rsidRPr="00C6511B">
        <w:rPr>
          <w:rFonts w:ascii="宋体" w:hAnsi="宋体" w:hint="eastAsia"/>
          <w:bCs/>
          <w:color w:val="000000"/>
          <w:sz w:val="24"/>
          <w:szCs w:val="24"/>
        </w:rPr>
        <w:t>年</w:t>
      </w:r>
      <w:r w:rsidRPr="00C6511B">
        <w:rPr>
          <w:rFonts w:ascii="宋体" w:hAnsi="宋体"/>
          <w:bCs/>
          <w:color w:val="000000"/>
          <w:sz w:val="24"/>
          <w:szCs w:val="24"/>
        </w:rPr>
        <w:t>5</w:t>
      </w:r>
      <w:r w:rsidRPr="00C6511B">
        <w:rPr>
          <w:rFonts w:ascii="宋体" w:hAnsi="宋体" w:hint="eastAsia"/>
          <w:bCs/>
          <w:color w:val="000000"/>
          <w:sz w:val="24"/>
          <w:szCs w:val="24"/>
        </w:rPr>
        <w:t>月</w:t>
      </w:r>
      <w:r>
        <w:rPr>
          <w:rFonts w:ascii="宋体" w:hAnsi="宋体"/>
          <w:bCs/>
          <w:color w:val="000000"/>
          <w:sz w:val="24"/>
          <w:szCs w:val="24"/>
        </w:rPr>
        <w:t>11</w:t>
      </w:r>
      <w:r w:rsidRPr="00C6511B">
        <w:rPr>
          <w:rFonts w:ascii="宋体" w:hAnsi="宋体" w:hint="eastAsia"/>
          <w:bCs/>
          <w:color w:val="000000"/>
          <w:sz w:val="24"/>
          <w:szCs w:val="24"/>
        </w:rPr>
        <w:t>日，基金合同生效日至报告期期末，本基金运作时间未满一年。图示日期为</w:t>
      </w:r>
      <w:r w:rsidRPr="00C6511B">
        <w:rPr>
          <w:rFonts w:ascii="宋体" w:hAnsi="宋体"/>
          <w:bCs/>
          <w:color w:val="000000"/>
          <w:sz w:val="24"/>
          <w:szCs w:val="24"/>
        </w:rPr>
        <w:t>201</w:t>
      </w:r>
      <w:r>
        <w:rPr>
          <w:rFonts w:ascii="宋体" w:hAnsi="宋体"/>
          <w:bCs/>
          <w:color w:val="000000"/>
          <w:sz w:val="24"/>
          <w:szCs w:val="24"/>
        </w:rPr>
        <w:t>6</w:t>
      </w:r>
      <w:r w:rsidRPr="00C6511B">
        <w:rPr>
          <w:rFonts w:ascii="宋体" w:hAnsi="宋体" w:hint="eastAsia"/>
          <w:bCs/>
          <w:color w:val="000000"/>
          <w:sz w:val="24"/>
          <w:szCs w:val="24"/>
        </w:rPr>
        <w:t>年</w:t>
      </w:r>
      <w:r w:rsidRPr="00C6511B">
        <w:rPr>
          <w:rFonts w:ascii="宋体" w:hAnsi="宋体"/>
          <w:bCs/>
          <w:color w:val="000000"/>
          <w:sz w:val="24"/>
          <w:szCs w:val="24"/>
        </w:rPr>
        <w:t>5</w:t>
      </w:r>
      <w:r w:rsidRPr="00C6511B">
        <w:rPr>
          <w:rFonts w:ascii="宋体" w:hAnsi="宋体" w:hint="eastAsia"/>
          <w:bCs/>
          <w:color w:val="000000"/>
          <w:sz w:val="24"/>
          <w:szCs w:val="24"/>
        </w:rPr>
        <w:t>月</w:t>
      </w:r>
      <w:r>
        <w:rPr>
          <w:rFonts w:ascii="宋体" w:hAnsi="宋体"/>
          <w:bCs/>
          <w:color w:val="000000"/>
          <w:sz w:val="24"/>
          <w:szCs w:val="24"/>
        </w:rPr>
        <w:t>11</w:t>
      </w:r>
      <w:r w:rsidRPr="00C6511B">
        <w:rPr>
          <w:rFonts w:ascii="宋体" w:hAnsi="宋体" w:hint="eastAsia"/>
          <w:bCs/>
          <w:color w:val="000000"/>
          <w:sz w:val="24"/>
          <w:szCs w:val="24"/>
        </w:rPr>
        <w:t>日至</w:t>
      </w:r>
      <w:r w:rsidRPr="00C6511B">
        <w:rPr>
          <w:rFonts w:ascii="宋体" w:hAnsi="宋体"/>
          <w:bCs/>
          <w:color w:val="000000"/>
          <w:sz w:val="24"/>
          <w:szCs w:val="24"/>
        </w:rPr>
        <w:t>201</w:t>
      </w:r>
      <w:r>
        <w:rPr>
          <w:rFonts w:ascii="宋体" w:hAnsi="宋体"/>
          <w:bCs/>
          <w:color w:val="000000"/>
          <w:sz w:val="24"/>
          <w:szCs w:val="24"/>
        </w:rPr>
        <w:t>6</w:t>
      </w:r>
      <w:r w:rsidRPr="00C6511B">
        <w:rPr>
          <w:rFonts w:ascii="宋体" w:hAnsi="宋体" w:hint="eastAsia"/>
          <w:bCs/>
          <w:color w:val="000000"/>
          <w:sz w:val="24"/>
          <w:szCs w:val="24"/>
        </w:rPr>
        <w:t>年</w:t>
      </w:r>
      <w:r>
        <w:rPr>
          <w:rFonts w:ascii="宋体" w:hAnsi="宋体"/>
          <w:bCs/>
          <w:color w:val="000000"/>
          <w:sz w:val="24"/>
          <w:szCs w:val="24"/>
        </w:rPr>
        <w:t>9</w:t>
      </w:r>
      <w:r w:rsidRPr="00C6511B">
        <w:rPr>
          <w:rFonts w:ascii="宋体" w:hAnsi="宋体" w:hint="eastAsia"/>
          <w:bCs/>
          <w:color w:val="000000"/>
          <w:sz w:val="24"/>
          <w:szCs w:val="24"/>
        </w:rPr>
        <w:t>月</w:t>
      </w:r>
      <w:r w:rsidRPr="00C6511B">
        <w:rPr>
          <w:rFonts w:ascii="宋体" w:hAnsi="宋体"/>
          <w:bCs/>
          <w:color w:val="000000"/>
          <w:sz w:val="24"/>
          <w:szCs w:val="24"/>
        </w:rPr>
        <w:t>3</w:t>
      </w:r>
      <w:r>
        <w:rPr>
          <w:rFonts w:ascii="宋体" w:hAnsi="宋体"/>
          <w:bCs/>
          <w:color w:val="000000"/>
          <w:sz w:val="24"/>
          <w:szCs w:val="24"/>
        </w:rPr>
        <w:t>0</w:t>
      </w:r>
      <w:r w:rsidRPr="00C6511B">
        <w:rPr>
          <w:rFonts w:ascii="宋体" w:hAnsi="宋体" w:hint="eastAsia"/>
          <w:bCs/>
          <w:color w:val="000000"/>
          <w:sz w:val="24"/>
          <w:szCs w:val="24"/>
        </w:rPr>
        <w:t>日。</w:t>
      </w:r>
    </w:p>
    <w:p w14:paraId="47110B35" w14:textId="77777777" w:rsidR="00C00DE9" w:rsidRPr="00690813" w:rsidRDefault="00C00DE9" w:rsidP="00725F28">
      <w:pPr>
        <w:spacing w:before="50" w:line="360" w:lineRule="auto"/>
        <w:ind w:firstLineChars="200" w:firstLine="480"/>
        <w:rPr>
          <w:bCs/>
          <w:sz w:val="24"/>
        </w:rPr>
      </w:pPr>
      <w:r w:rsidRPr="00B166E8">
        <w:rPr>
          <w:rFonts w:ascii="宋体" w:hAnsi="宋体" w:hint="eastAsia"/>
          <w:bCs/>
          <w:color w:val="000000"/>
          <w:sz w:val="24"/>
          <w:szCs w:val="24"/>
        </w:rPr>
        <w:t>2、本基金建仓期为6个月，从20</w:t>
      </w:r>
      <w:r>
        <w:rPr>
          <w:rFonts w:ascii="宋体" w:hAnsi="宋体"/>
          <w:bCs/>
          <w:color w:val="000000"/>
          <w:sz w:val="24"/>
          <w:szCs w:val="24"/>
        </w:rPr>
        <w:t>16</w:t>
      </w:r>
      <w:r w:rsidRPr="00B166E8">
        <w:rPr>
          <w:rFonts w:ascii="宋体" w:hAnsi="宋体" w:hint="eastAsia"/>
          <w:bCs/>
          <w:color w:val="000000"/>
          <w:sz w:val="24"/>
          <w:szCs w:val="24"/>
        </w:rPr>
        <w:t>年5月</w:t>
      </w:r>
      <w:r>
        <w:rPr>
          <w:rFonts w:ascii="宋体" w:hAnsi="宋体" w:hint="eastAsia"/>
          <w:bCs/>
          <w:color w:val="000000"/>
          <w:sz w:val="24"/>
          <w:szCs w:val="24"/>
        </w:rPr>
        <w:t>11</w:t>
      </w:r>
      <w:r w:rsidRPr="00B166E8">
        <w:rPr>
          <w:rFonts w:ascii="宋体" w:hAnsi="宋体" w:hint="eastAsia"/>
          <w:bCs/>
          <w:color w:val="000000"/>
          <w:sz w:val="24"/>
          <w:szCs w:val="24"/>
        </w:rPr>
        <w:t>日至2015年11月</w:t>
      </w:r>
      <w:r>
        <w:rPr>
          <w:rFonts w:ascii="宋体" w:hAnsi="宋体" w:hint="eastAsia"/>
          <w:bCs/>
          <w:color w:val="000000"/>
          <w:sz w:val="24"/>
          <w:szCs w:val="24"/>
        </w:rPr>
        <w:t>10</w:t>
      </w:r>
      <w:r w:rsidRPr="00B166E8">
        <w:rPr>
          <w:rFonts w:ascii="宋体" w:hAnsi="宋体" w:hint="eastAsia"/>
          <w:bCs/>
          <w:color w:val="000000"/>
          <w:sz w:val="24"/>
          <w:szCs w:val="24"/>
        </w:rPr>
        <w:t>日，建仓期结束时各项资产配置比例均符合基金合同约定。</w:t>
      </w:r>
    </w:p>
    <w:bookmarkEnd w:id="188"/>
    <w:bookmarkEnd w:id="189"/>
    <w:bookmarkEnd w:id="190"/>
    <w:p w14:paraId="73E7BB1B" w14:textId="77777777" w:rsidR="00DD2567" w:rsidRDefault="00680E4C">
      <w:pPr>
        <w:pStyle w:val="1"/>
        <w:spacing w:before="0" w:after="0"/>
        <w:jc w:val="center"/>
        <w:rPr>
          <w:rFonts w:ascii="Times New Roman"/>
          <w:color w:val="auto"/>
          <w:sz w:val="30"/>
        </w:rPr>
      </w:pPr>
      <w:r>
        <w:rPr>
          <w:rFonts w:ascii="Times New Roman"/>
          <w:b w:val="0"/>
          <w:bCs/>
          <w:color w:val="auto"/>
          <w:kern w:val="2"/>
        </w:rPr>
        <w:br w:type="page"/>
      </w:r>
      <w:bookmarkStart w:id="193" w:name="_Toc8791"/>
      <w:bookmarkStart w:id="194" w:name="_Toc3329"/>
      <w:bookmarkStart w:id="195" w:name="_Toc123112238"/>
      <w:bookmarkStart w:id="196" w:name="_Toc123102457"/>
      <w:bookmarkStart w:id="197" w:name="_Toc139991740"/>
      <w:bookmarkStart w:id="198" w:name="_Toc141703890"/>
      <w:bookmarkStart w:id="199" w:name="_Toc5170"/>
      <w:bookmarkStart w:id="200" w:name="_Toc32584"/>
      <w:bookmarkStart w:id="201" w:name="_Toc79392622"/>
      <w:bookmarkStart w:id="202" w:name="_Toc48649708"/>
      <w:bookmarkStart w:id="203" w:name="_Toc98560356"/>
      <w:bookmarkStart w:id="204" w:name="_Toc123051456"/>
      <w:bookmarkStart w:id="205" w:name="_Toc21237"/>
      <w:bookmarkStart w:id="206" w:name="_Toc17198"/>
      <w:bookmarkStart w:id="207" w:name="_Toc17920"/>
      <w:bookmarkStart w:id="208" w:name="_Toc29408"/>
      <w:bookmarkStart w:id="209" w:name="_Toc739"/>
      <w:bookmarkStart w:id="210" w:name="_Toc32092"/>
      <w:bookmarkStart w:id="211" w:name="_Toc342469899"/>
      <w:r>
        <w:rPr>
          <w:rFonts w:ascii="Times New Roman"/>
          <w:color w:val="auto"/>
          <w:sz w:val="30"/>
        </w:rPr>
        <w:lastRenderedPageBreak/>
        <w:t>第十部分</w:t>
      </w:r>
      <w:r w:rsidR="00C00DE9">
        <w:rPr>
          <w:rFonts w:ascii="Times New Roman" w:hint="eastAsia"/>
          <w:color w:val="auto"/>
          <w:sz w:val="30"/>
        </w:rPr>
        <w:t xml:space="preserve"> </w:t>
      </w:r>
      <w:r>
        <w:rPr>
          <w:rFonts w:ascii="Times New Roman"/>
          <w:color w:val="auto"/>
          <w:sz w:val="30"/>
        </w:rPr>
        <w:t>基金的</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Pr>
          <w:rFonts w:ascii="Times New Roman" w:hint="eastAsia"/>
          <w:color w:val="auto"/>
          <w:sz w:val="30"/>
        </w:rPr>
        <w:t>财产</w:t>
      </w:r>
      <w:bookmarkEnd w:id="211"/>
    </w:p>
    <w:p w14:paraId="1C01E642" w14:textId="77777777" w:rsidR="00DD2567" w:rsidRDefault="00DD2567">
      <w:pPr>
        <w:autoSpaceDE w:val="0"/>
        <w:autoSpaceDN w:val="0"/>
        <w:spacing w:line="360" w:lineRule="auto"/>
        <w:textAlignment w:val="bottom"/>
        <w:rPr>
          <w:bCs/>
          <w:sz w:val="24"/>
        </w:rPr>
      </w:pPr>
    </w:p>
    <w:p w14:paraId="0FEB37BD" w14:textId="77777777" w:rsidR="00DD2567" w:rsidRDefault="00680E4C">
      <w:pPr>
        <w:spacing w:line="360" w:lineRule="auto"/>
        <w:ind w:firstLineChars="200" w:firstLine="480"/>
        <w:rPr>
          <w:bCs/>
          <w:sz w:val="24"/>
        </w:rPr>
      </w:pPr>
      <w:r>
        <w:rPr>
          <w:bCs/>
          <w:sz w:val="24"/>
        </w:rPr>
        <w:t>一、基金资产总值</w:t>
      </w:r>
    </w:p>
    <w:p w14:paraId="4DC60542" w14:textId="77777777" w:rsidR="00DD2567" w:rsidRDefault="00680E4C">
      <w:pPr>
        <w:spacing w:line="360" w:lineRule="auto"/>
        <w:ind w:firstLineChars="200" w:firstLine="480"/>
        <w:rPr>
          <w:bCs/>
          <w:sz w:val="24"/>
        </w:rPr>
      </w:pPr>
      <w:r>
        <w:rPr>
          <w:bCs/>
          <w:sz w:val="24"/>
        </w:rPr>
        <w:t>基金资产总值是指购买的各类证券及票据价值、银行存款本息和基金应收的申购基金款以及其他投资所形成的价值总和。</w:t>
      </w:r>
    </w:p>
    <w:p w14:paraId="40C48646" w14:textId="77777777" w:rsidR="00DD2567" w:rsidRDefault="00680E4C">
      <w:pPr>
        <w:spacing w:line="360" w:lineRule="auto"/>
        <w:ind w:firstLineChars="200" w:firstLine="480"/>
        <w:rPr>
          <w:bCs/>
          <w:sz w:val="24"/>
        </w:rPr>
      </w:pPr>
      <w:r>
        <w:rPr>
          <w:bCs/>
          <w:sz w:val="24"/>
        </w:rPr>
        <w:t>二、基金资产净值</w:t>
      </w:r>
    </w:p>
    <w:p w14:paraId="4E600857" w14:textId="77777777" w:rsidR="00DD2567" w:rsidRDefault="00680E4C">
      <w:pPr>
        <w:spacing w:line="360" w:lineRule="auto"/>
        <w:ind w:firstLineChars="200" w:firstLine="480"/>
        <w:rPr>
          <w:bCs/>
          <w:sz w:val="24"/>
        </w:rPr>
      </w:pPr>
      <w:r>
        <w:rPr>
          <w:bCs/>
          <w:sz w:val="24"/>
        </w:rPr>
        <w:t>基金资产净值是指基金资产总值减去基金负债后的价值。</w:t>
      </w:r>
    </w:p>
    <w:p w14:paraId="552CD46F" w14:textId="77777777" w:rsidR="00DD2567" w:rsidRDefault="00680E4C">
      <w:pPr>
        <w:spacing w:line="360" w:lineRule="auto"/>
        <w:ind w:firstLineChars="200" w:firstLine="480"/>
        <w:rPr>
          <w:bCs/>
          <w:sz w:val="24"/>
        </w:rPr>
      </w:pPr>
      <w:r>
        <w:rPr>
          <w:bCs/>
          <w:sz w:val="24"/>
        </w:rPr>
        <w:t>三、基金财产的账户</w:t>
      </w:r>
    </w:p>
    <w:p w14:paraId="33DE9691" w14:textId="77777777" w:rsidR="00DD2567" w:rsidRDefault="00680E4C">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p>
    <w:p w14:paraId="7D431642" w14:textId="77777777" w:rsidR="00DD2567" w:rsidRDefault="00680E4C">
      <w:pPr>
        <w:spacing w:line="360" w:lineRule="auto"/>
        <w:ind w:firstLineChars="200" w:firstLine="480"/>
        <w:rPr>
          <w:bCs/>
          <w:sz w:val="24"/>
        </w:rPr>
      </w:pPr>
      <w:r>
        <w:rPr>
          <w:bCs/>
          <w:sz w:val="24"/>
        </w:rPr>
        <w:t>四、基金财产的保管和处分</w:t>
      </w:r>
    </w:p>
    <w:p w14:paraId="11B9DD29" w14:textId="77777777" w:rsidR="00DD2567" w:rsidRDefault="00680E4C">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266390D" w14:textId="77777777" w:rsidR="00DD2567" w:rsidRDefault="00680E4C">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46A76251" w14:textId="77777777" w:rsidR="00DD2567" w:rsidRDefault="00DD2567">
      <w:pPr>
        <w:spacing w:line="360" w:lineRule="auto"/>
        <w:ind w:firstLineChars="200" w:firstLine="480"/>
        <w:rPr>
          <w:bCs/>
          <w:sz w:val="24"/>
        </w:rPr>
      </w:pPr>
    </w:p>
    <w:p w14:paraId="1E7398EA" w14:textId="77F2AE0E" w:rsidR="00DD2567" w:rsidRDefault="00680E4C">
      <w:pPr>
        <w:pStyle w:val="1"/>
        <w:spacing w:before="0" w:after="0"/>
        <w:jc w:val="center"/>
        <w:rPr>
          <w:rFonts w:ascii="Times New Roman"/>
          <w:color w:val="auto"/>
          <w:sz w:val="30"/>
        </w:rPr>
      </w:pPr>
      <w:r>
        <w:rPr>
          <w:rFonts w:ascii="Times New Roman"/>
          <w:b w:val="0"/>
          <w:bCs/>
          <w:color w:val="auto"/>
        </w:rPr>
        <w:br w:type="page"/>
      </w:r>
      <w:bookmarkStart w:id="212" w:name="_Toc123112239"/>
      <w:bookmarkStart w:id="213" w:name="_Toc123102458"/>
      <w:bookmarkStart w:id="214" w:name="_Toc123051457"/>
      <w:bookmarkStart w:id="215" w:name="_Toc98560357"/>
      <w:bookmarkStart w:id="216" w:name="_Toc48649710"/>
      <w:bookmarkStart w:id="217" w:name="_Toc79392624"/>
      <w:bookmarkStart w:id="218" w:name="_Toc26152"/>
      <w:bookmarkStart w:id="219" w:name="_Toc21886"/>
      <w:bookmarkStart w:id="220" w:name="_Toc14725"/>
      <w:bookmarkStart w:id="221" w:name="_Toc16789"/>
      <w:bookmarkStart w:id="222" w:name="_Toc141703891"/>
      <w:bookmarkStart w:id="223" w:name="_Toc3244"/>
      <w:bookmarkStart w:id="224" w:name="_Toc22674"/>
      <w:bookmarkStart w:id="225" w:name="_Toc19520"/>
      <w:bookmarkStart w:id="226" w:name="_Toc26084"/>
      <w:bookmarkStart w:id="227" w:name="_Toc26383"/>
      <w:bookmarkStart w:id="228" w:name="_Toc2255"/>
      <w:bookmarkStart w:id="229" w:name="_Toc139991741"/>
      <w:bookmarkStart w:id="230" w:name="_Toc342469900"/>
      <w:r>
        <w:rPr>
          <w:rFonts w:ascii="Times New Roman"/>
          <w:color w:val="auto"/>
          <w:sz w:val="30"/>
        </w:rPr>
        <w:lastRenderedPageBreak/>
        <w:t>第十一部分</w:t>
      </w:r>
      <w:r w:rsidR="007B4A6C">
        <w:rPr>
          <w:rFonts w:ascii="Times New Roman" w:hint="eastAsia"/>
          <w:color w:val="auto"/>
          <w:sz w:val="30"/>
        </w:rPr>
        <w:t xml:space="preserve"> </w:t>
      </w:r>
      <w:r>
        <w:rPr>
          <w:rFonts w:ascii="Times New Roman"/>
          <w:color w:val="auto"/>
          <w:sz w:val="30"/>
        </w:rPr>
        <w:t>基金</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rFonts w:ascii="Times New Roman" w:hint="eastAsia"/>
          <w:color w:val="auto"/>
          <w:sz w:val="30"/>
        </w:rPr>
        <w:t>资产估值</w:t>
      </w:r>
      <w:bookmarkEnd w:id="230"/>
    </w:p>
    <w:p w14:paraId="53BE1A87" w14:textId="77777777" w:rsidR="00DD2567" w:rsidRDefault="00DD2567">
      <w:pPr>
        <w:autoSpaceDE w:val="0"/>
        <w:autoSpaceDN w:val="0"/>
        <w:spacing w:line="360" w:lineRule="auto"/>
        <w:textAlignment w:val="bottom"/>
        <w:rPr>
          <w:bCs/>
          <w:sz w:val="24"/>
        </w:rPr>
      </w:pPr>
    </w:p>
    <w:p w14:paraId="3F0C9EDC" w14:textId="77777777" w:rsidR="00DD2567" w:rsidRDefault="00680E4C">
      <w:pPr>
        <w:spacing w:line="360" w:lineRule="auto"/>
        <w:ind w:firstLineChars="200" w:firstLine="480"/>
        <w:rPr>
          <w:rFonts w:ascii="宋体" w:hAnsi="宋体"/>
          <w:bCs/>
          <w:sz w:val="24"/>
        </w:rPr>
      </w:pPr>
      <w:r>
        <w:rPr>
          <w:rFonts w:ascii="宋体" w:hAnsi="宋体"/>
          <w:bCs/>
          <w:sz w:val="24"/>
        </w:rPr>
        <w:t>一、估值日</w:t>
      </w:r>
    </w:p>
    <w:p w14:paraId="62373463" w14:textId="77777777" w:rsidR="00DD2567" w:rsidRDefault="00680E4C">
      <w:pPr>
        <w:spacing w:line="360" w:lineRule="auto"/>
        <w:ind w:firstLineChars="200" w:firstLine="480"/>
        <w:rPr>
          <w:rFonts w:ascii="宋体" w:hAnsi="宋体"/>
          <w:bCs/>
          <w:sz w:val="24"/>
        </w:rPr>
      </w:pPr>
      <w:r>
        <w:rPr>
          <w:rFonts w:ascii="宋体" w:hAnsi="宋体"/>
          <w:bCs/>
          <w:sz w:val="24"/>
        </w:rPr>
        <w:t>本基金的估值日为本基金相关的证券交易场所的交易日以及国家法律法规规定需要对外披露基金净值的非交易日。</w:t>
      </w:r>
    </w:p>
    <w:p w14:paraId="7AE1AB54" w14:textId="77777777" w:rsidR="00DD2567" w:rsidRDefault="00680E4C">
      <w:pPr>
        <w:spacing w:line="360" w:lineRule="auto"/>
        <w:ind w:firstLineChars="200" w:firstLine="480"/>
        <w:rPr>
          <w:rFonts w:ascii="宋体" w:hAnsi="宋体"/>
          <w:bCs/>
          <w:sz w:val="24"/>
        </w:rPr>
      </w:pPr>
      <w:r>
        <w:rPr>
          <w:rFonts w:ascii="宋体" w:hAnsi="宋体"/>
          <w:bCs/>
          <w:sz w:val="24"/>
        </w:rPr>
        <w:t>二、估值对象</w:t>
      </w:r>
    </w:p>
    <w:p w14:paraId="3E76AEE6" w14:textId="77777777" w:rsidR="00DD2567" w:rsidRDefault="00680E4C">
      <w:pPr>
        <w:spacing w:line="360" w:lineRule="auto"/>
        <w:ind w:firstLineChars="200" w:firstLine="480"/>
        <w:rPr>
          <w:rFonts w:ascii="宋体" w:hAnsi="宋体"/>
          <w:bCs/>
          <w:sz w:val="24"/>
        </w:rPr>
      </w:pPr>
      <w:r>
        <w:rPr>
          <w:rFonts w:ascii="宋体" w:hAnsi="宋体"/>
          <w:bCs/>
          <w:sz w:val="24"/>
        </w:rPr>
        <w:t>基金所拥有的股票、权证、</w:t>
      </w:r>
      <w:r>
        <w:rPr>
          <w:rFonts w:ascii="宋体" w:hAnsi="宋体" w:hint="eastAsia"/>
          <w:bCs/>
          <w:sz w:val="24"/>
        </w:rPr>
        <w:t>股指期货合约、</w:t>
      </w:r>
      <w:r>
        <w:rPr>
          <w:rFonts w:ascii="宋体" w:hAnsi="宋体"/>
          <w:bCs/>
          <w:sz w:val="24"/>
        </w:rPr>
        <w:t>债券和银行存款本息、应收款项、其它投资等资产及负债。</w:t>
      </w:r>
    </w:p>
    <w:p w14:paraId="6A209148" w14:textId="77777777" w:rsidR="00DD2567" w:rsidRDefault="00680E4C">
      <w:pPr>
        <w:spacing w:line="360" w:lineRule="auto"/>
        <w:ind w:firstLineChars="200" w:firstLine="480"/>
        <w:rPr>
          <w:rFonts w:ascii="宋体" w:hAnsi="宋体"/>
          <w:bCs/>
          <w:sz w:val="24"/>
        </w:rPr>
      </w:pPr>
      <w:r>
        <w:rPr>
          <w:rFonts w:ascii="宋体" w:hAnsi="宋体"/>
          <w:bCs/>
          <w:sz w:val="24"/>
        </w:rPr>
        <w:t>三、估值方法</w:t>
      </w:r>
    </w:p>
    <w:p w14:paraId="7E726E4A" w14:textId="77777777" w:rsidR="00DD2567" w:rsidRDefault="00680E4C">
      <w:pPr>
        <w:spacing w:line="360" w:lineRule="auto"/>
        <w:ind w:firstLineChars="200" w:firstLine="480"/>
        <w:rPr>
          <w:rFonts w:ascii="宋体" w:hAnsi="宋体"/>
          <w:bCs/>
          <w:sz w:val="24"/>
        </w:rPr>
      </w:pPr>
      <w:r>
        <w:rPr>
          <w:rFonts w:ascii="宋体" w:hAnsi="宋体"/>
          <w:bCs/>
          <w:sz w:val="24"/>
        </w:rPr>
        <w:t>1、证券交易所上市的有价证券的估值</w:t>
      </w:r>
    </w:p>
    <w:p w14:paraId="06FE05BF" w14:textId="77777777" w:rsidR="00DD2567" w:rsidRDefault="00680E4C">
      <w:pPr>
        <w:spacing w:line="360" w:lineRule="auto"/>
        <w:ind w:firstLineChars="200" w:firstLine="480"/>
        <w:rPr>
          <w:rFonts w:ascii="宋体" w:hAnsi="宋体"/>
          <w:bCs/>
          <w:sz w:val="24"/>
        </w:rPr>
      </w:pPr>
      <w:r>
        <w:rPr>
          <w:rFonts w:ascii="宋体" w:hAnsi="宋体"/>
          <w:bCs/>
          <w:sz w:val="24"/>
        </w:rPr>
        <w:t>（1）交易所上市的有价证券（包括股票、权证等），以其估值日在证券交易所挂牌的市价（收盘价）估值；估值日无交易的，且最近交易日后经济环境未发生重大变化</w:t>
      </w:r>
      <w:r>
        <w:rPr>
          <w:rFonts w:ascii="宋体" w:hAnsi="宋体" w:hint="eastAsia"/>
          <w:bCs/>
          <w:sz w:val="24"/>
        </w:rPr>
        <w:t>或证券发行机构未发生影响证券价格的重大事件的</w:t>
      </w:r>
      <w:r>
        <w:rPr>
          <w:rFonts w:ascii="宋体" w:hAnsi="宋体"/>
          <w:bCs/>
          <w:sz w:val="24"/>
        </w:rPr>
        <w:t>，以最近交易日的市价（收盘价）估值；如最近交易日后经济环境发生了重大变化</w:t>
      </w:r>
      <w:r>
        <w:rPr>
          <w:rFonts w:ascii="宋体" w:hAnsi="宋体" w:hint="eastAsia"/>
          <w:bCs/>
          <w:sz w:val="24"/>
        </w:rPr>
        <w:t>或证券发行机构发生影响证券价格的重大事件</w:t>
      </w:r>
      <w:r>
        <w:rPr>
          <w:rFonts w:ascii="宋体" w:hAnsi="宋体"/>
          <w:bCs/>
          <w:sz w:val="24"/>
        </w:rPr>
        <w:t>的，可参考类似投资品种的现行市价及重大变化因素，调整最近交易市价，确定公允价格</w:t>
      </w:r>
      <w:r>
        <w:rPr>
          <w:rFonts w:ascii="宋体" w:hAnsi="宋体" w:hint="eastAsia"/>
          <w:bCs/>
          <w:sz w:val="24"/>
        </w:rPr>
        <w:t>；</w:t>
      </w:r>
    </w:p>
    <w:p w14:paraId="5A2F2369" w14:textId="77777777" w:rsidR="00DD2567" w:rsidRDefault="00680E4C">
      <w:pPr>
        <w:spacing w:line="360" w:lineRule="auto"/>
        <w:ind w:firstLineChars="200" w:firstLine="480"/>
        <w:rPr>
          <w:bCs/>
          <w:sz w:val="24"/>
        </w:rPr>
      </w:pPr>
      <w:r>
        <w:rPr>
          <w:bCs/>
          <w:sz w:val="24"/>
        </w:rPr>
        <w:t>2</w:t>
      </w:r>
      <w:r>
        <w:rPr>
          <w:rFonts w:hint="eastAsia"/>
          <w:bCs/>
          <w:sz w:val="24"/>
        </w:rPr>
        <w:t>、交易所市场交易的固定收益品种的估值</w:t>
      </w:r>
    </w:p>
    <w:p w14:paraId="5D6E67BB" w14:textId="77777777" w:rsidR="00DD2567" w:rsidRDefault="00680E4C">
      <w:pPr>
        <w:spacing w:line="360" w:lineRule="auto"/>
        <w:ind w:firstLineChars="200" w:firstLine="480"/>
        <w:rPr>
          <w:bCs/>
          <w:sz w:val="24"/>
        </w:rPr>
      </w:pPr>
      <w:r>
        <w:rPr>
          <w:rFonts w:hint="eastAsia"/>
          <w:bCs/>
          <w:color w:val="000000"/>
          <w:sz w:val="24"/>
          <w:szCs w:val="24"/>
        </w:rPr>
        <w:t>（</w:t>
      </w:r>
      <w:r>
        <w:rPr>
          <w:bCs/>
          <w:color w:val="000000"/>
          <w:sz w:val="24"/>
          <w:szCs w:val="24"/>
        </w:rPr>
        <w:t>1</w:t>
      </w:r>
      <w:r>
        <w:rPr>
          <w:rFonts w:hint="eastAsia"/>
          <w:bCs/>
          <w:color w:val="000000"/>
          <w:sz w:val="24"/>
          <w:szCs w:val="24"/>
        </w:rPr>
        <w:t>）对在交易所市场上市交易或挂牌转让的固定收益品种（含证券公司发行的短期公司债券，另有规</w:t>
      </w:r>
      <w:r>
        <w:rPr>
          <w:rFonts w:hint="eastAsia"/>
          <w:bCs/>
          <w:sz w:val="24"/>
        </w:rPr>
        <w:t>定的除外），选取第三方估值机构提供的相应品种当日的估值净价进行估值；</w:t>
      </w:r>
    </w:p>
    <w:p w14:paraId="6F8E630C" w14:textId="77777777" w:rsidR="00DD2567" w:rsidRDefault="00680E4C">
      <w:pPr>
        <w:spacing w:line="360" w:lineRule="auto"/>
        <w:ind w:firstLineChars="200" w:firstLine="480"/>
        <w:rPr>
          <w:sz w:val="24"/>
        </w:rPr>
      </w:pPr>
      <w:r>
        <w:rPr>
          <w:rFonts w:hint="eastAsia"/>
          <w:bCs/>
          <w:sz w:val="24"/>
        </w:rPr>
        <w:t>（</w:t>
      </w:r>
      <w:r>
        <w:rPr>
          <w:bCs/>
          <w:sz w:val="24"/>
        </w:rPr>
        <w:t>2</w:t>
      </w:r>
      <w:r>
        <w:rPr>
          <w:rFonts w:hint="eastAsia"/>
          <w:bCs/>
          <w:sz w:val="24"/>
        </w:rPr>
        <w:t>）交易所市场</w:t>
      </w:r>
      <w:r>
        <w:rPr>
          <w:rFonts w:hint="eastAsia"/>
          <w:sz w:val="24"/>
        </w:rPr>
        <w:t>上市交易的</w:t>
      </w:r>
      <w:r>
        <w:rPr>
          <w:rFonts w:hint="eastAsia"/>
          <w:bCs/>
          <w:sz w:val="24"/>
        </w:rPr>
        <w:t>可转换</w:t>
      </w:r>
      <w:r>
        <w:rPr>
          <w:rFonts w:hint="eastAsia"/>
          <w:sz w:val="24"/>
        </w:rPr>
        <w:t>债券</w:t>
      </w:r>
      <w:r>
        <w:rPr>
          <w:rFonts w:ascii="宋体" w:hAnsi="宋体" w:hint="eastAsia"/>
          <w:color w:val="000000"/>
          <w:sz w:val="24"/>
          <w:szCs w:val="24"/>
        </w:rPr>
        <w:t>，</w:t>
      </w:r>
      <w:r>
        <w:rPr>
          <w:rFonts w:ascii="宋体" w:hAnsi="宋体" w:hint="eastAsia"/>
          <w:color w:val="000000"/>
          <w:sz w:val="24"/>
        </w:rPr>
        <w:t>按估值日收盘价减去</w:t>
      </w:r>
      <w:r>
        <w:rPr>
          <w:rFonts w:ascii="宋体" w:hAnsi="宋体" w:hint="eastAsia"/>
          <w:color w:val="000000"/>
          <w:sz w:val="24"/>
          <w:szCs w:val="24"/>
        </w:rPr>
        <w:t>可转换</w:t>
      </w:r>
      <w:r>
        <w:rPr>
          <w:rFonts w:ascii="宋体" w:hAnsi="宋体" w:hint="eastAsia"/>
          <w:color w:val="000000"/>
          <w:sz w:val="24"/>
        </w:rPr>
        <w:t>债券收盘价中所含债券应收利息</w:t>
      </w:r>
      <w:r>
        <w:rPr>
          <w:rFonts w:ascii="宋体" w:hAnsi="宋体" w:hint="eastAsia"/>
          <w:color w:val="000000"/>
          <w:sz w:val="24"/>
          <w:szCs w:val="24"/>
        </w:rPr>
        <w:t>后</w:t>
      </w:r>
      <w:r>
        <w:rPr>
          <w:rFonts w:ascii="宋体" w:hAnsi="宋体" w:hint="eastAsia"/>
          <w:color w:val="000000"/>
          <w:sz w:val="24"/>
        </w:rPr>
        <w:t>得到的净价进行估值</w:t>
      </w:r>
      <w:r>
        <w:rPr>
          <w:rFonts w:hint="eastAsia"/>
          <w:sz w:val="24"/>
        </w:rPr>
        <w:t>；</w:t>
      </w:r>
    </w:p>
    <w:p w14:paraId="447AB5B3" w14:textId="77777777" w:rsidR="00DD2567" w:rsidRDefault="00680E4C">
      <w:pPr>
        <w:spacing w:line="360" w:lineRule="auto"/>
        <w:ind w:firstLineChars="200" w:firstLine="480"/>
        <w:rPr>
          <w:color w:val="000000"/>
          <w:sz w:val="24"/>
        </w:rPr>
      </w:pPr>
      <w:r>
        <w:rPr>
          <w:rFonts w:hint="eastAsia"/>
          <w:bCs/>
          <w:sz w:val="24"/>
        </w:rPr>
        <w:t>（</w:t>
      </w:r>
      <w:r>
        <w:rPr>
          <w:bCs/>
          <w:sz w:val="24"/>
        </w:rPr>
        <w:t>3</w:t>
      </w:r>
      <w:r>
        <w:rPr>
          <w:rFonts w:hint="eastAsia"/>
          <w:bCs/>
          <w:sz w:val="24"/>
        </w:rPr>
        <w:t>）对在</w:t>
      </w:r>
      <w:r>
        <w:rPr>
          <w:rFonts w:hint="eastAsia"/>
          <w:sz w:val="24"/>
        </w:rPr>
        <w:t>交易所</w:t>
      </w:r>
      <w:r>
        <w:rPr>
          <w:rFonts w:hint="eastAsia"/>
          <w:bCs/>
          <w:sz w:val="24"/>
        </w:rPr>
        <w:t>市场挂牌转让</w:t>
      </w:r>
      <w:r>
        <w:rPr>
          <w:rFonts w:hint="eastAsia"/>
          <w:sz w:val="24"/>
        </w:rPr>
        <w:t>的资产支持证券</w:t>
      </w:r>
      <w:r>
        <w:rPr>
          <w:rFonts w:hint="eastAsia"/>
          <w:bCs/>
          <w:sz w:val="24"/>
        </w:rPr>
        <w:t>和私募债券（含中小企业私募债券、并购重组私募债券），</w:t>
      </w:r>
      <w:r>
        <w:rPr>
          <w:rFonts w:hint="eastAsia"/>
          <w:sz w:val="24"/>
        </w:rPr>
        <w:t>采用估值技术确定公允价值，在估值技术难以可靠计量公允价值的情况下，按成本估值。</w:t>
      </w:r>
    </w:p>
    <w:p w14:paraId="32997510" w14:textId="77777777" w:rsidR="00DD2567" w:rsidRDefault="00680E4C">
      <w:pPr>
        <w:spacing w:line="360" w:lineRule="auto"/>
        <w:ind w:firstLineChars="200" w:firstLine="480"/>
        <w:rPr>
          <w:rFonts w:ascii="宋体" w:hAnsi="宋体"/>
          <w:bCs/>
          <w:sz w:val="24"/>
        </w:rPr>
      </w:pPr>
      <w:r>
        <w:rPr>
          <w:bCs/>
          <w:color w:val="000000"/>
          <w:sz w:val="24"/>
          <w:szCs w:val="24"/>
        </w:rPr>
        <w:t>3</w:t>
      </w:r>
      <w:r>
        <w:rPr>
          <w:bCs/>
          <w:color w:val="000000"/>
          <w:sz w:val="24"/>
          <w:szCs w:val="24"/>
        </w:rPr>
        <w:t>、</w:t>
      </w:r>
      <w:r>
        <w:rPr>
          <w:bCs/>
          <w:sz w:val="24"/>
        </w:rPr>
        <w:t>银行间市场交易的固定收益品种，</w:t>
      </w:r>
      <w:r>
        <w:rPr>
          <w:rFonts w:hint="eastAsia"/>
          <w:bCs/>
          <w:sz w:val="24"/>
        </w:rPr>
        <w:t>选取第三方估值机构提供的相应品种当日的估值净价进行估值</w:t>
      </w:r>
      <w:r>
        <w:rPr>
          <w:bCs/>
          <w:sz w:val="24"/>
        </w:rPr>
        <w:t>。</w:t>
      </w:r>
    </w:p>
    <w:p w14:paraId="442CA2E8" w14:textId="77777777" w:rsidR="00DD2567" w:rsidRDefault="00680E4C">
      <w:pPr>
        <w:spacing w:line="360" w:lineRule="auto"/>
        <w:ind w:firstLineChars="200" w:firstLine="480"/>
        <w:rPr>
          <w:rFonts w:ascii="宋体" w:hAnsi="宋体"/>
          <w:bCs/>
          <w:sz w:val="24"/>
        </w:rPr>
      </w:pPr>
      <w:r>
        <w:rPr>
          <w:rFonts w:ascii="宋体" w:hAnsi="宋体" w:hint="eastAsia"/>
          <w:bCs/>
          <w:sz w:val="24"/>
        </w:rPr>
        <w:t>4</w:t>
      </w:r>
      <w:r>
        <w:rPr>
          <w:rFonts w:ascii="宋体" w:hAnsi="宋体"/>
          <w:bCs/>
          <w:sz w:val="24"/>
        </w:rPr>
        <w:t>、处于未上市期间的有价证券应区分如下情况处理：</w:t>
      </w:r>
    </w:p>
    <w:p w14:paraId="7F726BAE" w14:textId="77777777" w:rsidR="00DD2567" w:rsidRDefault="00680E4C">
      <w:pPr>
        <w:spacing w:line="336" w:lineRule="auto"/>
        <w:ind w:firstLineChars="200" w:firstLine="480"/>
        <w:rPr>
          <w:rFonts w:ascii="宋体" w:hAnsi="宋体"/>
          <w:bCs/>
          <w:sz w:val="24"/>
        </w:rPr>
      </w:pPr>
      <w:r>
        <w:rPr>
          <w:rFonts w:ascii="宋体" w:hAnsi="宋体"/>
          <w:bCs/>
          <w:sz w:val="24"/>
        </w:rPr>
        <w:t>（1）送股、转增股、配股和公开增发的新股，按估值日在证券交易所挂牌</w:t>
      </w:r>
      <w:r>
        <w:rPr>
          <w:rFonts w:ascii="宋体" w:hAnsi="宋体"/>
          <w:bCs/>
          <w:sz w:val="24"/>
        </w:rPr>
        <w:lastRenderedPageBreak/>
        <w:t>的同一股票的估值方法估值；该日无交易的，以最近一日的市价（收盘价）估值；</w:t>
      </w:r>
    </w:p>
    <w:p w14:paraId="6399E466" w14:textId="77777777" w:rsidR="00DD2567" w:rsidRDefault="00680E4C">
      <w:pPr>
        <w:spacing w:line="336" w:lineRule="auto"/>
        <w:ind w:firstLineChars="200" w:firstLine="480"/>
        <w:rPr>
          <w:rFonts w:ascii="宋体" w:hAnsi="宋体"/>
          <w:bCs/>
          <w:sz w:val="24"/>
        </w:rPr>
      </w:pPr>
      <w:r>
        <w:rPr>
          <w:rFonts w:ascii="宋体" w:hAnsi="宋体"/>
          <w:bCs/>
          <w:sz w:val="24"/>
        </w:rPr>
        <w:t>（2）首次公开发行未上市的股票、债券和权证，采用估值技术确定公允价值，在估值技术难以可靠计量公允价值的情况下，按成本估值</w:t>
      </w:r>
      <w:r>
        <w:rPr>
          <w:rFonts w:ascii="宋体" w:hAnsi="宋体" w:hint="eastAsia"/>
          <w:bCs/>
          <w:sz w:val="24"/>
        </w:rPr>
        <w:t>；</w:t>
      </w:r>
    </w:p>
    <w:p w14:paraId="21DC165E" w14:textId="77777777" w:rsidR="00DD2567" w:rsidRDefault="00680E4C">
      <w:pPr>
        <w:spacing w:line="336" w:lineRule="auto"/>
        <w:ind w:firstLineChars="200" w:firstLine="480"/>
        <w:rPr>
          <w:rFonts w:ascii="宋体" w:hAnsi="宋体"/>
          <w:bCs/>
          <w:sz w:val="24"/>
        </w:rPr>
      </w:pPr>
      <w:r>
        <w:rPr>
          <w:rFonts w:ascii="宋体" w:hAnsi="宋体"/>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1352CA8D" w14:textId="77777777" w:rsidR="00DD2567" w:rsidRDefault="00680E4C">
      <w:pPr>
        <w:spacing w:line="336" w:lineRule="auto"/>
        <w:ind w:firstLineChars="200" w:firstLine="480"/>
        <w:rPr>
          <w:rFonts w:ascii="宋体" w:hAnsi="宋体"/>
          <w:bCs/>
          <w:sz w:val="24"/>
        </w:rPr>
      </w:pPr>
      <w:r>
        <w:rPr>
          <w:rFonts w:ascii="宋体" w:hAnsi="宋体" w:hint="eastAsia"/>
          <w:bCs/>
          <w:sz w:val="24"/>
        </w:rPr>
        <w:t>5</w:t>
      </w:r>
      <w:r>
        <w:rPr>
          <w:rFonts w:ascii="宋体" w:hAnsi="宋体"/>
          <w:bCs/>
          <w:sz w:val="24"/>
        </w:rPr>
        <w:t>、</w:t>
      </w:r>
      <w:r>
        <w:rPr>
          <w:rFonts w:ascii="宋体" w:hAnsi="宋体" w:hint="eastAsia"/>
          <w:bCs/>
          <w:sz w:val="24"/>
        </w:rPr>
        <w:t>同一债券同时在两个或两个以上市场交易的，按债券所处的市场分别估值。</w:t>
      </w:r>
    </w:p>
    <w:p w14:paraId="6A3131C0" w14:textId="77777777" w:rsidR="00DD2567" w:rsidRDefault="00680E4C">
      <w:pPr>
        <w:spacing w:line="336" w:lineRule="auto"/>
        <w:ind w:firstLineChars="200" w:firstLine="480"/>
        <w:rPr>
          <w:rFonts w:ascii="宋体" w:hAnsi="宋体"/>
          <w:bCs/>
          <w:sz w:val="24"/>
        </w:rPr>
      </w:pPr>
      <w:r>
        <w:rPr>
          <w:rFonts w:ascii="宋体" w:hAnsi="宋体" w:hint="eastAsia"/>
          <w:bCs/>
          <w:sz w:val="24"/>
        </w:rPr>
        <w:t>6、基金投资的股指期货合约，一般以估值当日结算价进行估值，估值当日无结算价的，且最近交易日后经济环境未发生重大变化的，采用最近交易日结算价估值。</w:t>
      </w:r>
    </w:p>
    <w:p w14:paraId="7C4E8B3B" w14:textId="77777777" w:rsidR="00DD2567" w:rsidRDefault="00680E4C">
      <w:pPr>
        <w:spacing w:line="336" w:lineRule="auto"/>
        <w:ind w:firstLineChars="200" w:firstLine="480"/>
        <w:rPr>
          <w:rFonts w:ascii="宋体" w:hAnsi="宋体"/>
          <w:bCs/>
          <w:sz w:val="24"/>
        </w:rPr>
      </w:pPr>
      <w:r>
        <w:rPr>
          <w:rFonts w:ascii="宋体" w:hAnsi="宋体" w:hint="eastAsia"/>
          <w:bCs/>
          <w:sz w:val="24"/>
        </w:rPr>
        <w:t>7、</w:t>
      </w:r>
      <w:r>
        <w:rPr>
          <w:rFonts w:ascii="宋体" w:hAnsi="宋体"/>
          <w:bCs/>
          <w:sz w:val="24"/>
        </w:rPr>
        <w:t>如有确凿证据表明按上述方法进行估值不能客观反映其公允价值的，基金管理人可根据具体情况与基金托管人商定后，按最能反映公允价值的价格估值。</w:t>
      </w:r>
    </w:p>
    <w:p w14:paraId="6C4059A1" w14:textId="77777777" w:rsidR="00DD2567" w:rsidRDefault="00680E4C">
      <w:pPr>
        <w:spacing w:line="336" w:lineRule="auto"/>
        <w:ind w:firstLineChars="200" w:firstLine="480"/>
        <w:rPr>
          <w:rFonts w:ascii="宋体" w:hAnsi="宋体"/>
          <w:bCs/>
          <w:sz w:val="24"/>
        </w:rPr>
      </w:pPr>
      <w:r>
        <w:rPr>
          <w:rFonts w:ascii="宋体" w:hAnsi="宋体" w:hint="eastAsia"/>
          <w:bCs/>
          <w:sz w:val="24"/>
        </w:rPr>
        <w:t>8</w:t>
      </w:r>
      <w:r>
        <w:rPr>
          <w:rFonts w:ascii="宋体" w:hAnsi="宋体"/>
          <w:bCs/>
          <w:sz w:val="24"/>
        </w:rPr>
        <w:t>、相关法律法规以及监管部门有强制规定的，从其规定。如有新增事项，按国家最新规定估值。</w:t>
      </w:r>
    </w:p>
    <w:p w14:paraId="7BBB77C9" w14:textId="77777777" w:rsidR="00DD2567" w:rsidRDefault="00680E4C">
      <w:pPr>
        <w:spacing w:line="336" w:lineRule="auto"/>
        <w:ind w:firstLineChars="200" w:firstLine="480"/>
        <w:rPr>
          <w:rFonts w:ascii="宋体" w:hAnsi="宋体"/>
          <w:bCs/>
          <w:sz w:val="24"/>
        </w:rPr>
      </w:pPr>
      <w:r>
        <w:rPr>
          <w:rFonts w:ascii="宋体" w:hAnsi="宋体"/>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1EF556D" w14:textId="77777777" w:rsidR="00DD2567" w:rsidRDefault="00680E4C">
      <w:pPr>
        <w:spacing w:line="336" w:lineRule="auto"/>
        <w:ind w:firstLineChars="200" w:firstLine="480"/>
        <w:rPr>
          <w:rFonts w:ascii="宋体" w:hAnsi="宋体"/>
          <w:bCs/>
          <w:sz w:val="24"/>
        </w:rPr>
      </w:pPr>
      <w:r>
        <w:rPr>
          <w:rFonts w:ascii="宋体" w:hAnsi="宋体"/>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r>
        <w:rPr>
          <w:rFonts w:ascii="宋体" w:hAnsi="宋体" w:hint="eastAsia"/>
          <w:bCs/>
          <w:sz w:val="24"/>
        </w:rPr>
        <w:t>，由此给基金份额持有人和基金造成的损失以及因该交易日基金资产净值计算顺延错误而引起的损失，由基金管理人负责赔付</w:t>
      </w:r>
      <w:r>
        <w:rPr>
          <w:rFonts w:ascii="宋体" w:hAnsi="宋体"/>
          <w:bCs/>
          <w:sz w:val="24"/>
        </w:rPr>
        <w:t>。。</w:t>
      </w:r>
    </w:p>
    <w:p w14:paraId="35AD16BB" w14:textId="77777777" w:rsidR="00DD2567" w:rsidRDefault="00680E4C">
      <w:pPr>
        <w:spacing w:line="336" w:lineRule="auto"/>
        <w:ind w:firstLineChars="200" w:firstLine="480"/>
        <w:rPr>
          <w:rFonts w:ascii="宋体" w:hAnsi="宋体"/>
          <w:bCs/>
          <w:sz w:val="24"/>
        </w:rPr>
      </w:pPr>
      <w:r>
        <w:rPr>
          <w:rFonts w:ascii="宋体" w:hAnsi="宋体"/>
          <w:bCs/>
          <w:sz w:val="24"/>
        </w:rPr>
        <w:t>四、估值程序</w:t>
      </w:r>
    </w:p>
    <w:p w14:paraId="4C4DDF7F" w14:textId="40D3E7D3" w:rsidR="00DD2567" w:rsidRDefault="00680E4C">
      <w:pPr>
        <w:spacing w:line="336" w:lineRule="auto"/>
        <w:ind w:firstLineChars="200" w:firstLine="480"/>
        <w:rPr>
          <w:rFonts w:ascii="宋体" w:hAnsi="宋体"/>
          <w:bCs/>
          <w:sz w:val="24"/>
        </w:rPr>
      </w:pPr>
      <w:r>
        <w:rPr>
          <w:rFonts w:ascii="宋体" w:hAnsi="宋体"/>
          <w:bCs/>
          <w:sz w:val="24"/>
        </w:rPr>
        <w:t>1、基金份额净值是按照每个工作日闭市后，基金资产净值除以当日基金份额的余额数量计算，精确到</w:t>
      </w:r>
      <w:r>
        <w:rPr>
          <w:rFonts w:ascii="宋体" w:hAnsi="宋体" w:hint="eastAsia"/>
          <w:bCs/>
          <w:sz w:val="24"/>
        </w:rPr>
        <w:t>0.0</w:t>
      </w:r>
      <w:r w:rsidR="00A047AF">
        <w:rPr>
          <w:rFonts w:ascii="宋体" w:hAnsi="宋体" w:hint="eastAsia"/>
          <w:bCs/>
          <w:sz w:val="24"/>
        </w:rPr>
        <w:t>0</w:t>
      </w:r>
      <w:r>
        <w:rPr>
          <w:rFonts w:ascii="宋体" w:hAnsi="宋体" w:hint="eastAsia"/>
          <w:bCs/>
          <w:sz w:val="24"/>
        </w:rPr>
        <w:t>01</w:t>
      </w:r>
      <w:r>
        <w:rPr>
          <w:rFonts w:ascii="宋体" w:hAnsi="宋体"/>
          <w:bCs/>
          <w:sz w:val="24"/>
        </w:rPr>
        <w:t>元，小数点后第</w:t>
      </w:r>
      <w:r w:rsidR="00A047AF">
        <w:rPr>
          <w:rFonts w:ascii="宋体" w:hAnsi="宋体" w:hint="eastAsia"/>
          <w:bCs/>
          <w:sz w:val="24"/>
        </w:rPr>
        <w:t>5</w:t>
      </w:r>
      <w:r>
        <w:rPr>
          <w:rFonts w:ascii="宋体" w:hAnsi="宋体"/>
          <w:bCs/>
          <w:sz w:val="24"/>
        </w:rPr>
        <w:t>位四舍五入。国家另有规定的，从其规定。</w:t>
      </w:r>
    </w:p>
    <w:p w14:paraId="6283E3A0" w14:textId="77777777" w:rsidR="00DD2567" w:rsidRDefault="00680E4C">
      <w:pPr>
        <w:spacing w:line="360" w:lineRule="auto"/>
        <w:ind w:firstLineChars="200" w:firstLine="480"/>
        <w:rPr>
          <w:rFonts w:ascii="宋体" w:hAnsi="宋体"/>
          <w:bCs/>
          <w:sz w:val="24"/>
        </w:rPr>
      </w:pPr>
      <w:r>
        <w:rPr>
          <w:rFonts w:ascii="宋体" w:hAnsi="宋体" w:hint="eastAsia"/>
          <w:bCs/>
          <w:sz w:val="24"/>
        </w:rPr>
        <w:t>基金管理人于</w:t>
      </w:r>
      <w:r>
        <w:rPr>
          <w:rFonts w:ascii="宋体" w:hAnsi="宋体"/>
          <w:bCs/>
          <w:sz w:val="24"/>
        </w:rPr>
        <w:t>每个工作日计算基金资产净值及基金份额净值，并按规定公告。</w:t>
      </w:r>
    </w:p>
    <w:p w14:paraId="78C05ED1" w14:textId="77777777" w:rsidR="00DD2567" w:rsidRDefault="00680E4C">
      <w:pPr>
        <w:spacing w:line="360" w:lineRule="auto"/>
        <w:ind w:firstLineChars="200" w:firstLine="480"/>
        <w:rPr>
          <w:rFonts w:ascii="宋体" w:hAnsi="宋体"/>
          <w:bCs/>
          <w:sz w:val="24"/>
        </w:rPr>
      </w:pPr>
      <w:r>
        <w:rPr>
          <w:rFonts w:ascii="宋体" w:hAnsi="宋体"/>
          <w:bCs/>
          <w:sz w:val="24"/>
        </w:rPr>
        <w:t>2、基金管理人应每个工作日对基金资产估值。但基金管理人根据法律法规或基金合同的规定暂停估值时除外。基金管理人每个工作日对基金资产估值后，</w:t>
      </w:r>
      <w:r>
        <w:rPr>
          <w:rFonts w:ascii="宋体" w:hAnsi="宋体"/>
          <w:bCs/>
          <w:sz w:val="24"/>
        </w:rPr>
        <w:lastRenderedPageBreak/>
        <w:t>将基金份额净值结果发送基金托管人，经基金托管人复核无误后，由基金管理人对外公布。</w:t>
      </w:r>
    </w:p>
    <w:p w14:paraId="07027522" w14:textId="77777777" w:rsidR="00DD2567" w:rsidRDefault="00680E4C">
      <w:pPr>
        <w:spacing w:line="360" w:lineRule="auto"/>
        <w:ind w:firstLineChars="200" w:firstLine="480"/>
        <w:rPr>
          <w:rFonts w:ascii="宋体" w:hAnsi="宋体"/>
          <w:bCs/>
          <w:sz w:val="24"/>
        </w:rPr>
      </w:pPr>
      <w:r>
        <w:rPr>
          <w:rFonts w:ascii="宋体" w:hAnsi="宋体"/>
          <w:bCs/>
          <w:sz w:val="24"/>
        </w:rPr>
        <w:t>五、估值错误的处理</w:t>
      </w:r>
    </w:p>
    <w:p w14:paraId="045460E9" w14:textId="4705334C" w:rsidR="00DD2567" w:rsidRDefault="00680E4C">
      <w:pPr>
        <w:spacing w:line="360" w:lineRule="auto"/>
        <w:ind w:firstLineChars="200" w:firstLine="480"/>
        <w:rPr>
          <w:rFonts w:ascii="宋体" w:hAnsi="宋体"/>
          <w:bCs/>
          <w:sz w:val="24"/>
        </w:rPr>
      </w:pPr>
      <w:r>
        <w:rPr>
          <w:rFonts w:ascii="宋体" w:hAnsi="宋体"/>
          <w:bCs/>
          <w:sz w:val="24"/>
        </w:rPr>
        <w:t>基金管理人和基金托管人将采取必要、适当、合理的措施确保基金资产估值的准确性、及时性。当基金份额净值小数点后</w:t>
      </w:r>
      <w:r w:rsidR="00A047AF">
        <w:rPr>
          <w:rFonts w:ascii="宋体" w:hAnsi="宋体" w:hint="eastAsia"/>
          <w:bCs/>
          <w:sz w:val="24"/>
        </w:rPr>
        <w:t>4</w:t>
      </w:r>
      <w:r>
        <w:rPr>
          <w:rFonts w:ascii="宋体" w:hAnsi="宋体"/>
          <w:bCs/>
          <w:sz w:val="24"/>
        </w:rPr>
        <w:t>位以内（含第</w:t>
      </w:r>
      <w:r w:rsidR="00A047AF">
        <w:rPr>
          <w:rFonts w:ascii="宋体" w:hAnsi="宋体" w:hint="eastAsia"/>
          <w:bCs/>
          <w:sz w:val="24"/>
        </w:rPr>
        <w:t>4</w:t>
      </w:r>
      <w:r>
        <w:rPr>
          <w:rFonts w:ascii="宋体" w:hAnsi="宋体"/>
          <w:bCs/>
          <w:sz w:val="24"/>
        </w:rPr>
        <w:t>位）发生估值错误时，视为基金份额净值错误。</w:t>
      </w:r>
    </w:p>
    <w:p w14:paraId="34169007" w14:textId="77777777" w:rsidR="00DD2567" w:rsidRDefault="00680E4C">
      <w:pPr>
        <w:spacing w:line="360" w:lineRule="auto"/>
        <w:ind w:firstLineChars="200" w:firstLine="480"/>
        <w:rPr>
          <w:rFonts w:ascii="宋体" w:hAnsi="宋体"/>
          <w:bCs/>
          <w:sz w:val="24"/>
        </w:rPr>
      </w:pPr>
      <w:r>
        <w:rPr>
          <w:rFonts w:ascii="宋体" w:hAnsi="宋体"/>
          <w:bCs/>
          <w:sz w:val="24"/>
        </w:rPr>
        <w:t>基金合同的当事人应按照以下约定处理：</w:t>
      </w:r>
    </w:p>
    <w:p w14:paraId="60A03E06" w14:textId="77777777" w:rsidR="00DD2567" w:rsidRDefault="00680E4C">
      <w:pPr>
        <w:spacing w:line="360" w:lineRule="auto"/>
        <w:ind w:firstLineChars="200" w:firstLine="480"/>
        <w:rPr>
          <w:rFonts w:ascii="宋体" w:hAnsi="宋体"/>
          <w:bCs/>
          <w:sz w:val="24"/>
        </w:rPr>
      </w:pPr>
      <w:r>
        <w:rPr>
          <w:rFonts w:ascii="宋体" w:hAnsi="宋体"/>
          <w:bCs/>
          <w:sz w:val="24"/>
        </w:rPr>
        <w:t>1、估值错误类型</w:t>
      </w:r>
    </w:p>
    <w:p w14:paraId="7E785214" w14:textId="77777777" w:rsidR="00DD2567" w:rsidRDefault="00680E4C">
      <w:pPr>
        <w:spacing w:line="360" w:lineRule="auto"/>
        <w:ind w:firstLineChars="200" w:firstLine="480"/>
        <w:rPr>
          <w:rFonts w:ascii="宋体" w:hAnsi="宋体"/>
          <w:bCs/>
          <w:sz w:val="24"/>
        </w:rPr>
      </w:pPr>
      <w:r>
        <w:rPr>
          <w:rFonts w:ascii="宋体" w:hAnsi="宋体"/>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8F1CAAA" w14:textId="77777777" w:rsidR="00DD2567" w:rsidRDefault="00680E4C">
      <w:pPr>
        <w:spacing w:line="360" w:lineRule="auto"/>
        <w:ind w:firstLineChars="200" w:firstLine="480"/>
        <w:rPr>
          <w:rFonts w:ascii="宋体" w:hAnsi="宋体"/>
          <w:bCs/>
          <w:sz w:val="24"/>
        </w:rPr>
      </w:pPr>
      <w:r>
        <w:rPr>
          <w:rFonts w:ascii="宋体" w:hAnsi="宋体"/>
          <w:bCs/>
          <w:sz w:val="24"/>
        </w:rPr>
        <w:t>上述估值错误的主要类型包括但不限于：资料申报差错、数据传输差错、数据计算差错、系统故障差错、下达指令差错等。</w:t>
      </w:r>
    </w:p>
    <w:p w14:paraId="1EF8D046" w14:textId="77777777" w:rsidR="00DD2567" w:rsidRDefault="00680E4C">
      <w:pPr>
        <w:spacing w:line="360" w:lineRule="auto"/>
        <w:ind w:firstLineChars="200" w:firstLine="480"/>
        <w:rPr>
          <w:rFonts w:ascii="宋体" w:hAnsi="宋体"/>
          <w:bCs/>
          <w:sz w:val="24"/>
        </w:rPr>
      </w:pPr>
      <w:r>
        <w:rPr>
          <w:rFonts w:ascii="宋体" w:hAnsi="宋体"/>
          <w:bCs/>
          <w:sz w:val="24"/>
        </w:rPr>
        <w:t>2、估值错误处理原则</w:t>
      </w:r>
    </w:p>
    <w:p w14:paraId="4A5AD237" w14:textId="2D8DBB3C" w:rsidR="00DD2567" w:rsidRDefault="00680E4C">
      <w:pPr>
        <w:spacing w:line="360" w:lineRule="auto"/>
        <w:ind w:firstLineChars="200" w:firstLine="480"/>
        <w:rPr>
          <w:rFonts w:ascii="宋体" w:hAnsi="宋体"/>
          <w:bCs/>
          <w:sz w:val="24"/>
        </w:rPr>
      </w:pPr>
      <w:r>
        <w:rPr>
          <w:rFonts w:ascii="宋体" w:hAnsi="宋体" w:hint="eastAsia"/>
          <w:kern w:val="0"/>
          <w:sz w:val="24"/>
        </w:rPr>
        <w:t>因基金估值错误给投资人造成损失的应由基金管理人对基金份额持有人或者基金先行支付赔偿金。基金管理人对不应由其承担的责任，有权向责任人追偿。</w:t>
      </w:r>
      <w:r w:rsidR="0085123B">
        <w:rPr>
          <w:rFonts w:ascii="宋体" w:hAnsi="宋体" w:hint="eastAsia"/>
          <w:kern w:val="0"/>
          <w:sz w:val="24"/>
        </w:rPr>
        <w:t>基金合同</w:t>
      </w:r>
      <w:r>
        <w:rPr>
          <w:rFonts w:ascii="宋体" w:hAnsi="宋体" w:hint="eastAsia"/>
          <w:kern w:val="0"/>
          <w:sz w:val="24"/>
        </w:rPr>
        <w:t>的当事人应将按照以下约定的原则处理基金估值差错。</w:t>
      </w:r>
    </w:p>
    <w:p w14:paraId="193F5815" w14:textId="77777777" w:rsidR="00DD2567" w:rsidRDefault="00680E4C">
      <w:pPr>
        <w:spacing w:line="360" w:lineRule="auto"/>
        <w:ind w:firstLineChars="200" w:firstLine="480"/>
        <w:rPr>
          <w:rFonts w:ascii="宋体" w:hAnsi="宋体"/>
          <w:bCs/>
          <w:sz w:val="24"/>
        </w:rPr>
      </w:pPr>
      <w:r>
        <w:rPr>
          <w:rFonts w:ascii="宋体" w:hAnsi="宋体"/>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E22D7C6"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2</w:t>
      </w:r>
      <w:r>
        <w:rPr>
          <w:rFonts w:ascii="宋体" w:hAnsi="宋体"/>
          <w:bCs/>
          <w:sz w:val="24"/>
        </w:rPr>
        <w:t>）估值错误的责任方对有关当事人的直接损失负责，不对间接损失负责，并且仅对估值错误的有关直接当事人负责，不对第三方负责。</w:t>
      </w:r>
    </w:p>
    <w:p w14:paraId="09BC9EF9"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3</w:t>
      </w:r>
      <w:r>
        <w:rPr>
          <w:rFonts w:ascii="宋体" w:hAnsi="宋体"/>
          <w:bCs/>
          <w:sz w:val="24"/>
        </w:rPr>
        <w:t>）因估值错误而获得不当得利的当事人负有及时返还不当得利的义务。但估值错误责任方仍应对估值错误负责。如果由于获得不当得利的当事人不返还</w:t>
      </w:r>
      <w:r>
        <w:rPr>
          <w:rFonts w:ascii="宋体" w:hAnsi="宋体"/>
          <w:bCs/>
          <w:sz w:val="24"/>
        </w:rPr>
        <w:lastRenderedPageBreak/>
        <w:t>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42B7A58"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4</w:t>
      </w:r>
      <w:r>
        <w:rPr>
          <w:rFonts w:ascii="宋体" w:hAnsi="宋体"/>
          <w:bCs/>
          <w:sz w:val="24"/>
        </w:rPr>
        <w:t>）估值错误调整采用尽量恢复至假设未发生估值错误的正确情形的方式。</w:t>
      </w:r>
    </w:p>
    <w:p w14:paraId="33014B2D" w14:textId="77777777" w:rsidR="00DD2567" w:rsidRDefault="00680E4C">
      <w:pPr>
        <w:spacing w:line="360" w:lineRule="auto"/>
        <w:ind w:firstLineChars="200" w:firstLine="480"/>
        <w:rPr>
          <w:rFonts w:ascii="宋体" w:hAnsi="宋体"/>
          <w:bCs/>
          <w:sz w:val="24"/>
        </w:rPr>
      </w:pPr>
      <w:r>
        <w:rPr>
          <w:rFonts w:ascii="宋体" w:hAnsi="宋体"/>
          <w:bCs/>
          <w:sz w:val="24"/>
        </w:rPr>
        <w:t>3、估值错误处理程序</w:t>
      </w:r>
    </w:p>
    <w:p w14:paraId="53ADC295" w14:textId="77777777" w:rsidR="00DD2567" w:rsidRDefault="00680E4C">
      <w:pPr>
        <w:spacing w:line="360" w:lineRule="auto"/>
        <w:ind w:firstLineChars="200" w:firstLine="480"/>
        <w:rPr>
          <w:rFonts w:ascii="宋体" w:hAnsi="宋体"/>
          <w:bCs/>
          <w:sz w:val="24"/>
        </w:rPr>
      </w:pPr>
      <w:r>
        <w:rPr>
          <w:rFonts w:ascii="宋体" w:hAnsi="宋体"/>
          <w:bCs/>
          <w:sz w:val="24"/>
        </w:rPr>
        <w:t>估值错误被发现后，有关的当事人应当及时进行处理，处理的程序如下：</w:t>
      </w:r>
    </w:p>
    <w:p w14:paraId="4C0EA1AC" w14:textId="77777777" w:rsidR="00DD2567" w:rsidRDefault="00680E4C">
      <w:pPr>
        <w:spacing w:line="360" w:lineRule="auto"/>
        <w:ind w:firstLineChars="200" w:firstLine="480"/>
        <w:rPr>
          <w:rFonts w:ascii="宋体" w:hAnsi="宋体"/>
          <w:bCs/>
          <w:sz w:val="24"/>
        </w:rPr>
      </w:pPr>
      <w:r>
        <w:rPr>
          <w:rFonts w:ascii="宋体" w:hAnsi="宋体"/>
          <w:bCs/>
          <w:sz w:val="24"/>
        </w:rPr>
        <w:t>（1）查明估值错误发生的原因，列明所有的当事人，并根据估值错误发生的原因确定估值错误的责任方；</w:t>
      </w:r>
    </w:p>
    <w:p w14:paraId="685D31A0"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2</w:t>
      </w:r>
      <w:r>
        <w:rPr>
          <w:rFonts w:ascii="宋体" w:hAnsi="宋体"/>
          <w:bCs/>
          <w:sz w:val="24"/>
        </w:rPr>
        <w:t>）根据估值错误处理原则或当事人协商的方法对因估值错误造成的损失进行评估；</w:t>
      </w:r>
    </w:p>
    <w:p w14:paraId="5A45C7C7"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3</w:t>
      </w:r>
      <w:r>
        <w:rPr>
          <w:rFonts w:ascii="宋体" w:hAnsi="宋体"/>
          <w:bCs/>
          <w:sz w:val="24"/>
        </w:rPr>
        <w:t>）根据估值错误处理原则或当事人协商的方法由估值错误的责任方进行更正和赔偿损失；</w:t>
      </w:r>
    </w:p>
    <w:p w14:paraId="420DF269"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4</w:t>
      </w:r>
      <w:r>
        <w:rPr>
          <w:rFonts w:ascii="宋体" w:hAnsi="宋体"/>
          <w:bCs/>
          <w:sz w:val="24"/>
        </w:rPr>
        <w:t>）根据估值错误处理的方法，需要修改基金登记机构交易数据的，由基金登记机构进行更正，并就估值错误的更正向有关当事人进行确认。</w:t>
      </w:r>
    </w:p>
    <w:p w14:paraId="2C198D2C" w14:textId="77777777" w:rsidR="00DD2567" w:rsidRDefault="00680E4C">
      <w:pPr>
        <w:spacing w:line="360" w:lineRule="auto"/>
        <w:ind w:firstLineChars="200" w:firstLine="480"/>
        <w:rPr>
          <w:rFonts w:ascii="宋体" w:hAnsi="宋体"/>
          <w:bCs/>
          <w:sz w:val="24"/>
        </w:rPr>
      </w:pPr>
      <w:r>
        <w:rPr>
          <w:rFonts w:ascii="宋体" w:hAnsi="宋体"/>
          <w:bCs/>
          <w:sz w:val="24"/>
        </w:rPr>
        <w:t>4、基金份额净值估值错误处理的方法如下：</w:t>
      </w:r>
    </w:p>
    <w:p w14:paraId="6B49A174" w14:textId="77777777" w:rsidR="00DD2567" w:rsidRDefault="00680E4C">
      <w:pPr>
        <w:spacing w:line="360" w:lineRule="auto"/>
        <w:ind w:firstLineChars="200" w:firstLine="480"/>
        <w:rPr>
          <w:rFonts w:ascii="宋体" w:hAnsi="宋体"/>
          <w:bCs/>
          <w:sz w:val="24"/>
        </w:rPr>
      </w:pPr>
      <w:r>
        <w:rPr>
          <w:rFonts w:ascii="宋体" w:hAnsi="宋体"/>
          <w:bCs/>
          <w:sz w:val="24"/>
        </w:rPr>
        <w:t>（1）基金份额净值计算出现错误时，基金管理人应当立即予以纠正，通报基金托管人，并采取合理的措施防止损失进一步扩大。</w:t>
      </w:r>
    </w:p>
    <w:p w14:paraId="02C3E27E"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2</w:t>
      </w:r>
      <w:r>
        <w:rPr>
          <w:rFonts w:ascii="宋体" w:hAnsi="宋体"/>
          <w:bCs/>
          <w:sz w:val="24"/>
        </w:rPr>
        <w:t>）错误偏差达到基金份额净值的0.25%时，基金管理人应当通报基金托管人并报中国证监会备案；错误偏差达到基金份额净值的0.5%时，基金管理人应当公告。</w:t>
      </w:r>
    </w:p>
    <w:p w14:paraId="2FD4BF49"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3</w:t>
      </w:r>
      <w:r>
        <w:rPr>
          <w:rFonts w:ascii="宋体" w:hAnsi="宋体"/>
          <w:bCs/>
          <w:sz w:val="24"/>
        </w:rPr>
        <w:t>）前述内容如法律法规或监管机关另有规定的，从其规定处理。</w:t>
      </w:r>
    </w:p>
    <w:p w14:paraId="0FBB2040" w14:textId="77777777" w:rsidR="00DD2567" w:rsidRDefault="00680E4C">
      <w:pPr>
        <w:spacing w:line="360" w:lineRule="auto"/>
        <w:ind w:firstLineChars="200" w:firstLine="480"/>
        <w:rPr>
          <w:rFonts w:ascii="宋体" w:hAnsi="宋体"/>
          <w:bCs/>
          <w:sz w:val="24"/>
        </w:rPr>
      </w:pPr>
      <w:r>
        <w:rPr>
          <w:rFonts w:ascii="宋体" w:hAnsi="宋体"/>
          <w:bCs/>
          <w:sz w:val="24"/>
        </w:rPr>
        <w:t>六、暂停估值的情形</w:t>
      </w:r>
    </w:p>
    <w:p w14:paraId="18D101BB" w14:textId="77777777" w:rsidR="00DD2567" w:rsidRDefault="00680E4C">
      <w:pPr>
        <w:spacing w:line="360" w:lineRule="auto"/>
        <w:ind w:firstLineChars="200" w:firstLine="480"/>
        <w:rPr>
          <w:rFonts w:ascii="宋体" w:hAnsi="宋体"/>
          <w:bCs/>
          <w:sz w:val="24"/>
        </w:rPr>
      </w:pPr>
      <w:r>
        <w:rPr>
          <w:rFonts w:ascii="宋体" w:hAnsi="宋体"/>
          <w:bCs/>
          <w:sz w:val="24"/>
        </w:rPr>
        <w:t>1、基金投资所涉及的证券</w:t>
      </w:r>
      <w:r>
        <w:rPr>
          <w:rFonts w:ascii="宋体" w:hAnsi="宋体" w:hint="eastAsia"/>
          <w:bCs/>
          <w:sz w:val="24"/>
        </w:rPr>
        <w:t>、期货</w:t>
      </w:r>
      <w:r>
        <w:rPr>
          <w:rFonts w:ascii="宋体" w:hAnsi="宋体"/>
          <w:bCs/>
          <w:sz w:val="24"/>
        </w:rPr>
        <w:t>交易市场遇法定节假日或因其他原因暂停营业时；</w:t>
      </w:r>
    </w:p>
    <w:p w14:paraId="253C2B8B" w14:textId="77777777" w:rsidR="00DD2567" w:rsidRDefault="00680E4C">
      <w:pPr>
        <w:spacing w:line="360" w:lineRule="auto"/>
        <w:ind w:firstLineChars="200" w:firstLine="480"/>
        <w:rPr>
          <w:rFonts w:ascii="宋体" w:hAnsi="宋体"/>
          <w:bCs/>
          <w:sz w:val="24"/>
        </w:rPr>
      </w:pPr>
      <w:r>
        <w:rPr>
          <w:rFonts w:ascii="宋体" w:hAnsi="宋体"/>
          <w:bCs/>
          <w:sz w:val="24"/>
        </w:rPr>
        <w:t>2、因不可抗力致使基金管理人、基金托管人无法准确评估基金资产价值时；</w:t>
      </w:r>
    </w:p>
    <w:p w14:paraId="105F275A" w14:textId="77777777" w:rsidR="00DD2567" w:rsidRDefault="00680E4C">
      <w:pPr>
        <w:spacing w:line="360" w:lineRule="auto"/>
        <w:ind w:firstLineChars="200" w:firstLine="480"/>
        <w:rPr>
          <w:rFonts w:ascii="宋体" w:hAnsi="宋体"/>
          <w:bCs/>
          <w:sz w:val="24"/>
        </w:rPr>
      </w:pPr>
      <w:r>
        <w:rPr>
          <w:rFonts w:ascii="宋体" w:hAnsi="宋体"/>
          <w:bCs/>
          <w:sz w:val="24"/>
        </w:rPr>
        <w:t>3、中国证监会和基金合同认定的其它情形。</w:t>
      </w:r>
    </w:p>
    <w:p w14:paraId="2D754F7C" w14:textId="77777777" w:rsidR="00DD2567" w:rsidRDefault="00680E4C">
      <w:pPr>
        <w:spacing w:line="360" w:lineRule="auto"/>
        <w:ind w:firstLineChars="200" w:firstLine="480"/>
        <w:rPr>
          <w:rFonts w:ascii="宋体" w:hAnsi="宋体"/>
          <w:bCs/>
          <w:sz w:val="24"/>
        </w:rPr>
      </w:pPr>
      <w:r>
        <w:rPr>
          <w:rFonts w:ascii="宋体" w:hAnsi="宋体"/>
          <w:bCs/>
          <w:sz w:val="24"/>
        </w:rPr>
        <w:t>七、基金净值的确认</w:t>
      </w:r>
    </w:p>
    <w:p w14:paraId="08770CD6"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5A34177A" w14:textId="77777777" w:rsidR="00DD2567" w:rsidRDefault="00680E4C">
      <w:pPr>
        <w:spacing w:line="360" w:lineRule="auto"/>
        <w:ind w:firstLineChars="200" w:firstLine="480"/>
        <w:rPr>
          <w:rFonts w:ascii="宋体" w:hAnsi="宋体"/>
          <w:bCs/>
          <w:sz w:val="24"/>
        </w:rPr>
      </w:pPr>
      <w:r>
        <w:rPr>
          <w:rFonts w:ascii="宋体" w:hAnsi="宋体" w:hint="eastAsia"/>
          <w:bCs/>
          <w:sz w:val="24"/>
        </w:rPr>
        <w:t>八、特殊情况的处理</w:t>
      </w:r>
    </w:p>
    <w:p w14:paraId="1B7583D5" w14:textId="77777777" w:rsidR="00DD2567" w:rsidRDefault="00680E4C">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基金管理人或基金托管人按</w:t>
      </w:r>
      <w:r>
        <w:rPr>
          <w:rFonts w:ascii="宋体" w:hAnsi="宋体" w:hint="eastAsia"/>
          <w:bCs/>
          <w:sz w:val="24"/>
        </w:rPr>
        <w:t>基金合同规定的</w:t>
      </w:r>
      <w:r>
        <w:rPr>
          <w:rFonts w:ascii="宋体" w:hAnsi="宋体"/>
          <w:bCs/>
          <w:sz w:val="24"/>
        </w:rPr>
        <w:t>估值方法的第</w:t>
      </w:r>
      <w:r>
        <w:rPr>
          <w:rFonts w:ascii="宋体" w:hAnsi="宋体" w:hint="eastAsia"/>
          <w:bCs/>
          <w:sz w:val="24"/>
        </w:rPr>
        <w:t>7</w:t>
      </w:r>
      <w:r>
        <w:rPr>
          <w:rFonts w:ascii="宋体" w:hAnsi="宋体"/>
          <w:bCs/>
          <w:sz w:val="24"/>
        </w:rPr>
        <w:t>项进行估值时，所造成的误差不作为</w:t>
      </w:r>
      <w:r>
        <w:rPr>
          <w:rFonts w:ascii="宋体" w:hAnsi="宋体" w:hint="eastAsia"/>
          <w:bCs/>
          <w:sz w:val="24"/>
        </w:rPr>
        <w:t>基金资产估值</w:t>
      </w:r>
      <w:r>
        <w:rPr>
          <w:rFonts w:ascii="宋体" w:hAnsi="宋体"/>
          <w:bCs/>
          <w:sz w:val="24"/>
        </w:rPr>
        <w:t>错误处理。</w:t>
      </w:r>
    </w:p>
    <w:p w14:paraId="064F340F" w14:textId="77777777" w:rsidR="00DD2567" w:rsidRDefault="00680E4C">
      <w:pPr>
        <w:spacing w:line="360" w:lineRule="auto"/>
        <w:ind w:firstLineChars="200" w:firstLine="480"/>
        <w:rPr>
          <w:rFonts w:ascii="宋体" w:hAnsi="宋体"/>
          <w:bCs/>
          <w:sz w:val="24"/>
        </w:rPr>
      </w:pPr>
      <w:r>
        <w:rPr>
          <w:rFonts w:ascii="宋体" w:hAnsi="宋体" w:hint="eastAsia"/>
          <w:bCs/>
          <w:sz w:val="24"/>
        </w:rPr>
        <w:t>2、由于不可抗力原因或交易所及登记结算公司发送的数据错误，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由此造成的影响。</w:t>
      </w:r>
    </w:p>
    <w:p w14:paraId="278CE756" w14:textId="340C46BF" w:rsidR="00DD2567" w:rsidRDefault="00680E4C">
      <w:pPr>
        <w:pStyle w:val="1"/>
        <w:spacing w:before="0" w:after="0"/>
        <w:jc w:val="center"/>
        <w:rPr>
          <w:rFonts w:ascii="Times New Roman"/>
          <w:color w:val="auto"/>
          <w:sz w:val="30"/>
        </w:rPr>
      </w:pPr>
      <w:r>
        <w:rPr>
          <w:rFonts w:ascii="Times New Roman"/>
          <w:b w:val="0"/>
          <w:bCs/>
          <w:color w:val="auto"/>
        </w:rPr>
        <w:br w:type="page"/>
      </w:r>
      <w:bookmarkStart w:id="231" w:name="_Toc5477"/>
      <w:bookmarkStart w:id="232" w:name="_Toc3872"/>
      <w:bookmarkStart w:id="233" w:name="_Toc21917"/>
      <w:bookmarkStart w:id="234" w:name="_Toc578"/>
      <w:bookmarkStart w:id="235" w:name="_Toc22538"/>
      <w:bookmarkStart w:id="236" w:name="_Toc11395"/>
      <w:bookmarkStart w:id="237" w:name="_Toc801"/>
      <w:bookmarkStart w:id="238" w:name="_Toc2981"/>
      <w:bookmarkStart w:id="239" w:name="_Toc16437"/>
      <w:bookmarkStart w:id="240" w:name="_Toc11351"/>
      <w:bookmarkStart w:id="241" w:name="_Toc342469901"/>
      <w:r>
        <w:rPr>
          <w:rFonts w:ascii="Times New Roman"/>
          <w:color w:val="auto"/>
          <w:sz w:val="30"/>
        </w:rPr>
        <w:lastRenderedPageBreak/>
        <w:t>第十二部分</w:t>
      </w:r>
      <w:r w:rsidR="007B4A6C">
        <w:rPr>
          <w:rFonts w:ascii="Times New Roman" w:hint="eastAsia"/>
          <w:color w:val="auto"/>
          <w:sz w:val="30"/>
        </w:rPr>
        <w:t xml:space="preserve"> </w:t>
      </w:r>
      <w:r>
        <w:rPr>
          <w:rFonts w:ascii="Times New Roman"/>
          <w:color w:val="auto"/>
          <w:sz w:val="30"/>
        </w:rPr>
        <w:t>基金的</w:t>
      </w:r>
      <w:bookmarkEnd w:id="231"/>
      <w:bookmarkEnd w:id="232"/>
      <w:bookmarkEnd w:id="233"/>
      <w:bookmarkEnd w:id="234"/>
      <w:bookmarkEnd w:id="235"/>
      <w:bookmarkEnd w:id="236"/>
      <w:bookmarkEnd w:id="237"/>
      <w:bookmarkEnd w:id="238"/>
      <w:bookmarkEnd w:id="239"/>
      <w:bookmarkEnd w:id="240"/>
      <w:r>
        <w:rPr>
          <w:rFonts w:ascii="Times New Roman" w:hint="eastAsia"/>
          <w:color w:val="auto"/>
          <w:sz w:val="30"/>
        </w:rPr>
        <w:t>收益与分配</w:t>
      </w:r>
      <w:bookmarkEnd w:id="241"/>
    </w:p>
    <w:p w14:paraId="63939772" w14:textId="77777777" w:rsidR="00DD2567" w:rsidRDefault="00DD2567">
      <w:pPr>
        <w:rPr>
          <w:bCs/>
          <w:sz w:val="24"/>
        </w:rPr>
      </w:pPr>
    </w:p>
    <w:p w14:paraId="3025DC03" w14:textId="77777777" w:rsidR="00DD2567" w:rsidRDefault="00680E4C">
      <w:pPr>
        <w:spacing w:line="360" w:lineRule="auto"/>
        <w:ind w:firstLineChars="225" w:firstLine="540"/>
        <w:rPr>
          <w:rFonts w:ascii="宋体" w:hAnsi="宋体"/>
          <w:bCs/>
          <w:sz w:val="24"/>
        </w:rPr>
      </w:pPr>
      <w:r>
        <w:rPr>
          <w:rFonts w:ascii="宋体" w:hAnsi="宋体"/>
          <w:bCs/>
          <w:sz w:val="24"/>
        </w:rPr>
        <w:t>一、基金利润的构成</w:t>
      </w:r>
    </w:p>
    <w:p w14:paraId="377632A3" w14:textId="77777777" w:rsidR="00DD2567" w:rsidRDefault="00680E4C">
      <w:pPr>
        <w:spacing w:line="360" w:lineRule="auto"/>
        <w:ind w:firstLineChars="225" w:firstLine="540"/>
        <w:rPr>
          <w:rFonts w:ascii="宋体" w:hAnsi="宋体"/>
          <w:bCs/>
          <w:sz w:val="24"/>
        </w:rPr>
      </w:pPr>
      <w:r>
        <w:rPr>
          <w:rFonts w:ascii="宋体" w:hAnsi="宋体"/>
          <w:bCs/>
          <w:sz w:val="24"/>
        </w:rPr>
        <w:t>基金利润指基金利息收入、投资收益、公允价值变动收益和其他收入扣除相关费用后的余额，基金已实现收益指基金利润减去公允价值变动收益后的余额。</w:t>
      </w:r>
    </w:p>
    <w:p w14:paraId="4C815EFF" w14:textId="77777777" w:rsidR="00DD2567" w:rsidRDefault="00680E4C">
      <w:pPr>
        <w:spacing w:line="360" w:lineRule="auto"/>
        <w:ind w:firstLineChars="225" w:firstLine="540"/>
        <w:rPr>
          <w:rFonts w:ascii="宋体" w:hAnsi="宋体"/>
          <w:bCs/>
          <w:sz w:val="24"/>
        </w:rPr>
      </w:pPr>
      <w:r>
        <w:rPr>
          <w:rFonts w:ascii="宋体" w:hAnsi="宋体"/>
          <w:bCs/>
          <w:sz w:val="24"/>
        </w:rPr>
        <w:t>二、基金可供分配利润</w:t>
      </w:r>
    </w:p>
    <w:p w14:paraId="1A2636EE" w14:textId="77777777" w:rsidR="00DD2567" w:rsidRDefault="00680E4C">
      <w:pPr>
        <w:spacing w:line="360" w:lineRule="auto"/>
        <w:ind w:firstLineChars="225" w:firstLine="540"/>
        <w:rPr>
          <w:rFonts w:ascii="宋体" w:hAnsi="宋体"/>
          <w:bCs/>
          <w:sz w:val="24"/>
        </w:rPr>
      </w:pPr>
      <w:r>
        <w:rPr>
          <w:rFonts w:ascii="宋体" w:hAnsi="宋体"/>
          <w:bCs/>
          <w:sz w:val="24"/>
        </w:rPr>
        <w:t>基金可供分配利润指截至收益分配基准日基金未分配利润与未分配利润中已实现收益的孰低数。</w:t>
      </w:r>
    </w:p>
    <w:p w14:paraId="4715F737" w14:textId="77777777" w:rsidR="00DD2567" w:rsidRDefault="00680E4C">
      <w:pPr>
        <w:spacing w:line="360" w:lineRule="auto"/>
        <w:ind w:firstLineChars="225" w:firstLine="540"/>
        <w:rPr>
          <w:rFonts w:ascii="宋体" w:hAnsi="宋体"/>
          <w:bCs/>
          <w:sz w:val="24"/>
        </w:rPr>
      </w:pPr>
      <w:r>
        <w:rPr>
          <w:rFonts w:ascii="宋体" w:hAnsi="宋体"/>
          <w:bCs/>
          <w:sz w:val="24"/>
        </w:rPr>
        <w:t>三、基金收益分配原则</w:t>
      </w:r>
    </w:p>
    <w:p w14:paraId="30B9E002" w14:textId="77777777" w:rsidR="00DD2567" w:rsidRDefault="00680E4C">
      <w:pPr>
        <w:spacing w:line="360" w:lineRule="auto"/>
        <w:ind w:firstLineChars="225" w:firstLine="540"/>
        <w:rPr>
          <w:rFonts w:ascii="宋体" w:hAnsi="宋体"/>
          <w:bCs/>
          <w:sz w:val="24"/>
        </w:rPr>
      </w:pPr>
      <w:r>
        <w:rPr>
          <w:rFonts w:ascii="宋体" w:hAnsi="宋体"/>
          <w:bCs/>
          <w:sz w:val="24"/>
        </w:rPr>
        <w:t>1、在符合有关基金分红条件的前提下，本基金每年收益分配次数最多为</w:t>
      </w:r>
      <w:r>
        <w:rPr>
          <w:rFonts w:ascii="宋体" w:hAnsi="宋体" w:hint="eastAsia"/>
          <w:bCs/>
          <w:sz w:val="24"/>
        </w:rPr>
        <w:t>6</w:t>
      </w:r>
      <w:r>
        <w:rPr>
          <w:rFonts w:ascii="宋体" w:hAnsi="宋体"/>
          <w:bCs/>
          <w:sz w:val="24"/>
        </w:rPr>
        <w:t>次，每次收益分配比例不得低于该次可供分配利润的</w:t>
      </w:r>
      <w:r>
        <w:rPr>
          <w:rFonts w:ascii="宋体" w:hAnsi="宋体" w:hint="eastAsia"/>
          <w:bCs/>
          <w:sz w:val="24"/>
        </w:rPr>
        <w:t>10%</w:t>
      </w:r>
      <w:r>
        <w:rPr>
          <w:rFonts w:ascii="宋体" w:hAnsi="宋体"/>
          <w:bCs/>
          <w:sz w:val="24"/>
        </w:rPr>
        <w:t>，若《基金合同》生效不满3个月可不进行收益分配；</w:t>
      </w:r>
    </w:p>
    <w:p w14:paraId="65D37D33" w14:textId="77777777" w:rsidR="00DD2567" w:rsidRDefault="00680E4C">
      <w:pPr>
        <w:spacing w:line="360" w:lineRule="auto"/>
        <w:ind w:firstLineChars="225" w:firstLine="540"/>
        <w:rPr>
          <w:rFonts w:ascii="宋体" w:hAnsi="宋体"/>
          <w:bCs/>
          <w:sz w:val="24"/>
        </w:rPr>
      </w:pPr>
      <w:r>
        <w:rPr>
          <w:rFonts w:ascii="宋体" w:hAnsi="宋体"/>
          <w:bCs/>
          <w:sz w:val="24"/>
        </w:rPr>
        <w:t>2、本基金收益分配方式分两种：现金分红与红利再投资，投资者可选择现金红利或将现金红利自动转为基金份额进行再投资；若投资者不选择，本基金默认的收益分配方式是现金分红；</w:t>
      </w:r>
    </w:p>
    <w:p w14:paraId="7D76EA83" w14:textId="77777777" w:rsidR="00DD2567" w:rsidRDefault="00680E4C">
      <w:pPr>
        <w:spacing w:line="360" w:lineRule="auto"/>
        <w:ind w:firstLineChars="225" w:firstLine="540"/>
        <w:rPr>
          <w:rFonts w:ascii="宋体" w:hAnsi="宋体"/>
          <w:bCs/>
          <w:sz w:val="24"/>
        </w:rPr>
      </w:pPr>
      <w:r>
        <w:rPr>
          <w:rFonts w:ascii="宋体" w:hAnsi="宋体"/>
          <w:bCs/>
          <w:sz w:val="24"/>
        </w:rPr>
        <w:t>3、基金收益分配后基金份额净值不能低于面值；即基金收益分配基准日的基金份额净值减去每单位基金份额收益分配金额后不能低于面值</w:t>
      </w:r>
      <w:r>
        <w:rPr>
          <w:rFonts w:ascii="宋体" w:hAnsi="宋体" w:hint="eastAsia"/>
          <w:bCs/>
          <w:sz w:val="24"/>
        </w:rPr>
        <w:t>；</w:t>
      </w:r>
    </w:p>
    <w:p w14:paraId="560F8D63" w14:textId="77777777" w:rsidR="00DD2567" w:rsidRDefault="00680E4C">
      <w:pPr>
        <w:spacing w:line="360" w:lineRule="auto"/>
        <w:ind w:firstLineChars="225" w:firstLine="540"/>
        <w:rPr>
          <w:rFonts w:ascii="宋体" w:hAnsi="宋体"/>
          <w:bCs/>
          <w:sz w:val="24"/>
        </w:rPr>
      </w:pPr>
      <w:r>
        <w:rPr>
          <w:rFonts w:ascii="宋体" w:hAnsi="宋体"/>
          <w:bCs/>
          <w:sz w:val="24"/>
        </w:rPr>
        <w:t>4、每一基金份额享有同等分配权；</w:t>
      </w:r>
    </w:p>
    <w:p w14:paraId="2DAFFB16" w14:textId="77777777" w:rsidR="00DD2567" w:rsidRDefault="00680E4C">
      <w:pPr>
        <w:spacing w:line="360" w:lineRule="auto"/>
        <w:ind w:firstLineChars="225" w:firstLine="540"/>
        <w:rPr>
          <w:rFonts w:ascii="宋体" w:hAnsi="宋体"/>
          <w:bCs/>
          <w:sz w:val="24"/>
        </w:rPr>
      </w:pPr>
      <w:r>
        <w:rPr>
          <w:rFonts w:ascii="宋体" w:hAnsi="宋体"/>
          <w:bCs/>
          <w:sz w:val="24"/>
        </w:rPr>
        <w:t>5、法律法规或监管机关另有规定的，从其规定。</w:t>
      </w:r>
    </w:p>
    <w:p w14:paraId="534058F4" w14:textId="77777777" w:rsidR="00DD2567" w:rsidRDefault="00680E4C">
      <w:pPr>
        <w:spacing w:line="360" w:lineRule="auto"/>
        <w:ind w:firstLineChars="225" w:firstLine="540"/>
        <w:rPr>
          <w:rFonts w:ascii="宋体" w:hAnsi="宋体"/>
          <w:bCs/>
          <w:sz w:val="24"/>
        </w:rPr>
      </w:pPr>
      <w:r>
        <w:rPr>
          <w:rFonts w:ascii="宋体" w:hAnsi="宋体"/>
          <w:bCs/>
          <w:sz w:val="24"/>
        </w:rPr>
        <w:t>四、收益分配方案</w:t>
      </w:r>
    </w:p>
    <w:p w14:paraId="66A159F0" w14:textId="77777777" w:rsidR="00DD2567" w:rsidRDefault="00680E4C">
      <w:pPr>
        <w:spacing w:line="360" w:lineRule="auto"/>
        <w:ind w:firstLineChars="225" w:firstLine="540"/>
        <w:rPr>
          <w:rFonts w:ascii="宋体" w:hAnsi="宋体"/>
          <w:bCs/>
          <w:sz w:val="24"/>
        </w:rPr>
      </w:pPr>
      <w:r>
        <w:rPr>
          <w:rFonts w:ascii="宋体" w:hAnsi="宋体"/>
          <w:bCs/>
          <w:sz w:val="24"/>
        </w:rPr>
        <w:t>基金收益分配方案中应载明截止收益分配基准日的可供分配利润、基金收益分配对象、分配时间、分配数额及比例、分配方式等内容。</w:t>
      </w:r>
    </w:p>
    <w:p w14:paraId="57042919" w14:textId="77777777" w:rsidR="00DD2567" w:rsidRDefault="00680E4C">
      <w:pPr>
        <w:spacing w:line="360" w:lineRule="auto"/>
        <w:ind w:firstLineChars="225" w:firstLine="540"/>
        <w:rPr>
          <w:rFonts w:ascii="宋体" w:hAnsi="宋体"/>
          <w:bCs/>
          <w:sz w:val="24"/>
        </w:rPr>
      </w:pPr>
      <w:r>
        <w:rPr>
          <w:rFonts w:ascii="宋体" w:hAnsi="宋体"/>
          <w:bCs/>
          <w:sz w:val="24"/>
        </w:rPr>
        <w:t>五、收益分配方案的确定、公告与实施</w:t>
      </w:r>
    </w:p>
    <w:p w14:paraId="55A986E9" w14:textId="77777777" w:rsidR="00DD2567" w:rsidRDefault="00680E4C">
      <w:pPr>
        <w:spacing w:line="360" w:lineRule="auto"/>
        <w:ind w:firstLineChars="225" w:firstLine="540"/>
        <w:rPr>
          <w:rFonts w:ascii="宋体" w:hAnsi="宋体"/>
          <w:bCs/>
          <w:sz w:val="24"/>
        </w:rPr>
      </w:pPr>
      <w:r>
        <w:rPr>
          <w:rFonts w:ascii="宋体" w:hAnsi="宋体"/>
          <w:bCs/>
          <w:sz w:val="24"/>
        </w:rPr>
        <w:t>本基金收益分配方案由基金管理人拟定，并由基金托管人复核，在2日内在指定媒介公告并报中国证监会备案。</w:t>
      </w:r>
    </w:p>
    <w:p w14:paraId="63A988E3" w14:textId="77777777" w:rsidR="00DD2567" w:rsidRDefault="00680E4C">
      <w:pPr>
        <w:spacing w:line="360" w:lineRule="auto"/>
        <w:ind w:firstLineChars="225" w:firstLine="540"/>
        <w:rPr>
          <w:rFonts w:ascii="宋体" w:hAnsi="宋体"/>
          <w:bCs/>
          <w:sz w:val="24"/>
        </w:rPr>
      </w:pPr>
      <w:r>
        <w:rPr>
          <w:rFonts w:ascii="宋体" w:hAnsi="宋体"/>
          <w:bCs/>
          <w:sz w:val="24"/>
        </w:rPr>
        <w:t>基金红利发放日距离收益分配基准日（即可供分配利润计算截止日）的时间不得超过15个工作日。</w:t>
      </w:r>
    </w:p>
    <w:p w14:paraId="79F54A0C" w14:textId="77777777" w:rsidR="00DD2567" w:rsidRDefault="00680E4C">
      <w:pPr>
        <w:spacing w:line="360" w:lineRule="auto"/>
        <w:ind w:firstLineChars="225" w:firstLine="540"/>
        <w:rPr>
          <w:rFonts w:ascii="宋体" w:hAnsi="宋体"/>
          <w:bCs/>
          <w:sz w:val="24"/>
        </w:rPr>
      </w:pPr>
      <w:r>
        <w:rPr>
          <w:rFonts w:ascii="宋体" w:hAnsi="宋体"/>
          <w:bCs/>
          <w:sz w:val="24"/>
        </w:rPr>
        <w:t>六、基金收益分配中发生的费用</w:t>
      </w:r>
    </w:p>
    <w:p w14:paraId="5226A98A" w14:textId="77777777" w:rsidR="00DD2567" w:rsidRDefault="00680E4C">
      <w:pPr>
        <w:spacing w:line="360" w:lineRule="auto"/>
        <w:ind w:firstLineChars="225" w:firstLine="540"/>
        <w:rPr>
          <w:rFonts w:ascii="宋体" w:hAnsi="宋体"/>
          <w:bCs/>
          <w:sz w:val="24"/>
        </w:rPr>
      </w:pPr>
      <w:r>
        <w:rPr>
          <w:rFonts w:ascii="宋体" w:hAnsi="宋体"/>
          <w:bCs/>
          <w:sz w:val="24"/>
        </w:rPr>
        <w:t>基金收益分配时所发生的银行转账或其他手续费用由投资者自行承担。当</w:t>
      </w:r>
      <w:r>
        <w:rPr>
          <w:rFonts w:ascii="宋体" w:hAnsi="宋体"/>
          <w:bCs/>
          <w:sz w:val="24"/>
        </w:rPr>
        <w:lastRenderedPageBreak/>
        <w:t>投资者的现金红利小于一定金额，不足于支付银行转账或其他手续费用时，基金登记机构可将基金份额持有人的现金红利自动转为基金份额。红利再投资的计算方法，依照《业务规则》执行。</w:t>
      </w:r>
    </w:p>
    <w:p w14:paraId="304304A7" w14:textId="5602EA5F" w:rsidR="00DD2567" w:rsidRDefault="00680E4C">
      <w:pPr>
        <w:pStyle w:val="1"/>
        <w:spacing w:before="0" w:after="0"/>
        <w:jc w:val="center"/>
        <w:rPr>
          <w:rFonts w:ascii="Times New Roman"/>
          <w:color w:val="auto"/>
          <w:sz w:val="30"/>
        </w:rPr>
      </w:pPr>
      <w:r>
        <w:rPr>
          <w:rFonts w:ascii="Times New Roman"/>
          <w:b w:val="0"/>
          <w:bCs/>
          <w:color w:val="auto"/>
          <w:kern w:val="44"/>
          <w:sz w:val="21"/>
        </w:rPr>
        <w:br w:type="page"/>
      </w:r>
      <w:bookmarkStart w:id="242" w:name="_Toc93226145"/>
      <w:bookmarkStart w:id="243" w:name="_Toc92662704"/>
      <w:bookmarkStart w:id="244" w:name="_Toc20102"/>
      <w:bookmarkStart w:id="245" w:name="_Toc32030"/>
      <w:bookmarkStart w:id="246" w:name="_Toc21642"/>
      <w:bookmarkStart w:id="247" w:name="_Toc26114"/>
      <w:bookmarkStart w:id="248" w:name="_Toc20782"/>
      <w:bookmarkStart w:id="249" w:name="_Toc3054"/>
      <w:bookmarkStart w:id="250" w:name="_Toc29561"/>
      <w:bookmarkStart w:id="251" w:name="_Toc24474"/>
      <w:bookmarkStart w:id="252" w:name="_Toc141703893"/>
      <w:bookmarkStart w:id="253" w:name="_Toc139991743"/>
      <w:bookmarkStart w:id="254" w:name="_Toc128310496"/>
      <w:bookmarkStart w:id="255" w:name="_Toc18000"/>
      <w:bookmarkStart w:id="256" w:name="_Toc31611"/>
      <w:bookmarkStart w:id="257" w:name="_Toc342469902"/>
      <w:r>
        <w:rPr>
          <w:rFonts w:ascii="Times New Roman"/>
          <w:color w:val="auto"/>
          <w:sz w:val="30"/>
        </w:rPr>
        <w:lastRenderedPageBreak/>
        <w:t>第十三部分</w:t>
      </w:r>
      <w:r w:rsidR="007B4A6C">
        <w:rPr>
          <w:rFonts w:ascii="Times New Roman" w:hint="eastAsia"/>
          <w:color w:val="auto"/>
          <w:sz w:val="30"/>
        </w:rPr>
        <w:t xml:space="preserve"> </w:t>
      </w:r>
      <w:r>
        <w:rPr>
          <w:rFonts w:ascii="Times New Roman"/>
          <w:color w:val="auto"/>
          <w:sz w:val="30"/>
        </w:rPr>
        <w:t>基金</w:t>
      </w:r>
      <w:bookmarkEnd w:id="242"/>
      <w:bookmarkEnd w:id="243"/>
      <w:r>
        <w:rPr>
          <w:rFonts w:ascii="Times New Roman"/>
          <w:color w:val="auto"/>
          <w:sz w:val="30"/>
        </w:rPr>
        <w:t>的</w:t>
      </w:r>
      <w:bookmarkEnd w:id="244"/>
      <w:bookmarkEnd w:id="245"/>
      <w:bookmarkEnd w:id="246"/>
      <w:bookmarkEnd w:id="247"/>
      <w:bookmarkEnd w:id="248"/>
      <w:bookmarkEnd w:id="249"/>
      <w:bookmarkEnd w:id="250"/>
      <w:bookmarkEnd w:id="251"/>
      <w:bookmarkEnd w:id="252"/>
      <w:bookmarkEnd w:id="253"/>
      <w:bookmarkEnd w:id="254"/>
      <w:bookmarkEnd w:id="255"/>
      <w:bookmarkEnd w:id="256"/>
      <w:r>
        <w:rPr>
          <w:rFonts w:ascii="Times New Roman" w:hint="eastAsia"/>
          <w:color w:val="auto"/>
          <w:sz w:val="30"/>
        </w:rPr>
        <w:t>费用与税收</w:t>
      </w:r>
      <w:bookmarkEnd w:id="257"/>
    </w:p>
    <w:p w14:paraId="16163544" w14:textId="77777777" w:rsidR="00DD2567" w:rsidRDefault="00DD2567">
      <w:pPr>
        <w:spacing w:line="360" w:lineRule="auto"/>
        <w:ind w:firstLineChars="200" w:firstLine="480"/>
        <w:rPr>
          <w:bCs/>
          <w:sz w:val="24"/>
        </w:rPr>
      </w:pPr>
    </w:p>
    <w:p w14:paraId="6D0626D3" w14:textId="77777777" w:rsidR="00DD2567" w:rsidRDefault="00680E4C">
      <w:pPr>
        <w:spacing w:line="360" w:lineRule="auto"/>
        <w:ind w:firstLineChars="200" w:firstLine="480"/>
        <w:rPr>
          <w:rFonts w:ascii="宋体" w:hAnsi="宋体"/>
          <w:bCs/>
          <w:sz w:val="24"/>
        </w:rPr>
      </w:pPr>
      <w:r>
        <w:rPr>
          <w:rFonts w:ascii="宋体" w:hAnsi="宋体"/>
          <w:bCs/>
          <w:sz w:val="24"/>
        </w:rPr>
        <w:t>一、基金费用的种类</w:t>
      </w:r>
    </w:p>
    <w:p w14:paraId="200C648A" w14:textId="77777777" w:rsidR="00DD2567" w:rsidRDefault="00680E4C">
      <w:pPr>
        <w:spacing w:line="360" w:lineRule="auto"/>
        <w:ind w:firstLineChars="200" w:firstLine="480"/>
        <w:rPr>
          <w:rFonts w:ascii="宋体" w:hAnsi="宋体"/>
          <w:bCs/>
          <w:sz w:val="24"/>
        </w:rPr>
      </w:pPr>
      <w:r>
        <w:rPr>
          <w:rFonts w:ascii="宋体" w:hAnsi="宋体"/>
          <w:bCs/>
          <w:sz w:val="24"/>
        </w:rPr>
        <w:t>1、基金管理人的管理费；</w:t>
      </w:r>
    </w:p>
    <w:p w14:paraId="1679CD97" w14:textId="77777777" w:rsidR="00DD2567" w:rsidRDefault="00680E4C">
      <w:pPr>
        <w:spacing w:line="360" w:lineRule="auto"/>
        <w:ind w:firstLineChars="200" w:firstLine="480"/>
        <w:rPr>
          <w:rFonts w:ascii="宋体" w:hAnsi="宋体"/>
          <w:bCs/>
          <w:sz w:val="24"/>
        </w:rPr>
      </w:pPr>
      <w:r>
        <w:rPr>
          <w:rFonts w:ascii="宋体" w:hAnsi="宋体"/>
          <w:bCs/>
          <w:sz w:val="24"/>
        </w:rPr>
        <w:t>2、基金托管人的托管费；</w:t>
      </w:r>
    </w:p>
    <w:p w14:paraId="59D0C9F5" w14:textId="77777777" w:rsidR="00DD2567" w:rsidRDefault="00680E4C">
      <w:pPr>
        <w:spacing w:line="360" w:lineRule="auto"/>
        <w:ind w:firstLineChars="200" w:firstLine="480"/>
        <w:rPr>
          <w:rFonts w:ascii="宋体" w:hAnsi="宋体"/>
          <w:bCs/>
          <w:sz w:val="24"/>
        </w:rPr>
      </w:pPr>
      <w:r>
        <w:rPr>
          <w:rFonts w:ascii="宋体" w:hAnsi="宋体"/>
          <w:bCs/>
          <w:sz w:val="24"/>
        </w:rPr>
        <w:t>3、基金合同生效后与基金相关的信息披露费用；</w:t>
      </w:r>
    </w:p>
    <w:p w14:paraId="39E0AD5F" w14:textId="77777777" w:rsidR="00DD2567" w:rsidRDefault="00680E4C">
      <w:pPr>
        <w:spacing w:line="360" w:lineRule="auto"/>
        <w:ind w:firstLineChars="200" w:firstLine="480"/>
        <w:rPr>
          <w:rFonts w:ascii="宋体" w:hAnsi="宋体"/>
          <w:bCs/>
          <w:sz w:val="24"/>
        </w:rPr>
      </w:pPr>
      <w:r>
        <w:rPr>
          <w:rFonts w:ascii="宋体" w:hAnsi="宋体"/>
          <w:bCs/>
          <w:sz w:val="24"/>
        </w:rPr>
        <w:t>4、基金合同生效后与基金相关的会计师费、律师费和诉讼费；</w:t>
      </w:r>
    </w:p>
    <w:p w14:paraId="7B67E887" w14:textId="77777777" w:rsidR="00DD2567" w:rsidRDefault="00680E4C">
      <w:pPr>
        <w:spacing w:line="360" w:lineRule="auto"/>
        <w:ind w:firstLineChars="200" w:firstLine="480"/>
        <w:rPr>
          <w:rFonts w:ascii="宋体" w:hAnsi="宋体"/>
          <w:bCs/>
          <w:sz w:val="24"/>
        </w:rPr>
      </w:pPr>
      <w:r>
        <w:rPr>
          <w:rFonts w:ascii="宋体" w:hAnsi="宋体"/>
          <w:bCs/>
          <w:sz w:val="24"/>
        </w:rPr>
        <w:t>5、基金份额持有人大会费用；</w:t>
      </w:r>
    </w:p>
    <w:p w14:paraId="5C508D22" w14:textId="77777777" w:rsidR="00DD2567" w:rsidRDefault="00680E4C">
      <w:pPr>
        <w:spacing w:line="360" w:lineRule="auto"/>
        <w:ind w:firstLineChars="200" w:firstLine="480"/>
        <w:rPr>
          <w:rFonts w:ascii="宋体" w:hAnsi="宋体"/>
          <w:bCs/>
          <w:sz w:val="24"/>
        </w:rPr>
      </w:pPr>
      <w:r>
        <w:rPr>
          <w:rFonts w:ascii="宋体" w:hAnsi="宋体"/>
          <w:bCs/>
          <w:sz w:val="24"/>
        </w:rPr>
        <w:t>6、基金的证券</w:t>
      </w:r>
      <w:r>
        <w:rPr>
          <w:rFonts w:ascii="宋体" w:hAnsi="宋体" w:hint="eastAsia"/>
          <w:bCs/>
          <w:sz w:val="24"/>
        </w:rPr>
        <w:t>、期货</w:t>
      </w:r>
      <w:r>
        <w:rPr>
          <w:rFonts w:ascii="宋体" w:hAnsi="宋体"/>
          <w:bCs/>
          <w:sz w:val="24"/>
        </w:rPr>
        <w:t>交易费用；</w:t>
      </w:r>
    </w:p>
    <w:p w14:paraId="19434891" w14:textId="77777777" w:rsidR="00DD2567" w:rsidRDefault="00680E4C">
      <w:pPr>
        <w:spacing w:line="360" w:lineRule="auto"/>
        <w:ind w:firstLineChars="200" w:firstLine="480"/>
        <w:rPr>
          <w:rFonts w:ascii="宋体" w:hAnsi="宋体"/>
          <w:bCs/>
          <w:sz w:val="24"/>
        </w:rPr>
      </w:pPr>
      <w:r>
        <w:rPr>
          <w:rFonts w:ascii="宋体" w:hAnsi="宋体"/>
          <w:bCs/>
          <w:sz w:val="24"/>
        </w:rPr>
        <w:t>7、基金的银行汇划费用；</w:t>
      </w:r>
    </w:p>
    <w:p w14:paraId="454395C7" w14:textId="77777777" w:rsidR="00DD2567" w:rsidRDefault="00680E4C">
      <w:pPr>
        <w:spacing w:line="360" w:lineRule="auto"/>
        <w:ind w:firstLineChars="200" w:firstLine="480"/>
        <w:rPr>
          <w:rFonts w:ascii="宋体" w:hAnsi="宋体"/>
          <w:bCs/>
          <w:sz w:val="24"/>
        </w:rPr>
      </w:pPr>
      <w:r>
        <w:rPr>
          <w:rFonts w:ascii="宋体" w:hAnsi="宋体" w:hint="eastAsia"/>
          <w:bCs/>
          <w:sz w:val="24"/>
        </w:rPr>
        <w:t>8</w:t>
      </w:r>
      <w:r>
        <w:rPr>
          <w:rFonts w:ascii="宋体" w:hAnsi="宋体"/>
          <w:bCs/>
          <w:sz w:val="24"/>
        </w:rPr>
        <w:t>、按照国家有关规定和基金合同约定，可以在基金财产中列支的其他费用。</w:t>
      </w:r>
    </w:p>
    <w:p w14:paraId="4CD5C87C" w14:textId="77777777" w:rsidR="00DD2567" w:rsidRDefault="00680E4C">
      <w:pPr>
        <w:spacing w:line="360" w:lineRule="auto"/>
        <w:ind w:firstLineChars="200" w:firstLine="480"/>
        <w:rPr>
          <w:rFonts w:ascii="宋体" w:hAnsi="宋体"/>
          <w:bCs/>
          <w:sz w:val="24"/>
        </w:rPr>
      </w:pPr>
      <w:r>
        <w:rPr>
          <w:rFonts w:ascii="宋体" w:hAnsi="宋体"/>
          <w:bCs/>
          <w:sz w:val="24"/>
        </w:rPr>
        <w:t>二、基金费用计提方法、计提标准和支付方式</w:t>
      </w:r>
    </w:p>
    <w:p w14:paraId="40792B0B" w14:textId="77777777" w:rsidR="00DD2567" w:rsidRDefault="00680E4C">
      <w:pPr>
        <w:spacing w:line="360" w:lineRule="auto"/>
        <w:ind w:firstLineChars="200" w:firstLine="480"/>
        <w:rPr>
          <w:rFonts w:ascii="宋体" w:hAnsi="宋体"/>
          <w:bCs/>
          <w:sz w:val="24"/>
        </w:rPr>
      </w:pPr>
      <w:r>
        <w:rPr>
          <w:rFonts w:ascii="宋体" w:hAnsi="宋体"/>
          <w:bCs/>
          <w:sz w:val="24"/>
        </w:rPr>
        <w:t>1、基金管理人的管理费</w:t>
      </w:r>
    </w:p>
    <w:p w14:paraId="0375115A" w14:textId="1924D19E" w:rsidR="00DD2567" w:rsidRDefault="00680E4C">
      <w:pPr>
        <w:spacing w:line="360" w:lineRule="auto"/>
        <w:ind w:firstLineChars="200" w:firstLine="480"/>
        <w:rPr>
          <w:rFonts w:ascii="宋体" w:hAnsi="宋体"/>
          <w:bCs/>
          <w:sz w:val="24"/>
        </w:rPr>
      </w:pPr>
      <w:r>
        <w:rPr>
          <w:rFonts w:ascii="宋体" w:hAnsi="宋体"/>
          <w:bCs/>
          <w:sz w:val="24"/>
        </w:rPr>
        <w:t>本基金的管理费按前一日基金资产净值的</w:t>
      </w:r>
      <w:r w:rsidR="00592FCE">
        <w:rPr>
          <w:rFonts w:ascii="宋体" w:hAnsi="宋体" w:hint="eastAsia"/>
          <w:bCs/>
          <w:sz w:val="24"/>
        </w:rPr>
        <w:t>0</w:t>
      </w:r>
      <w:r>
        <w:rPr>
          <w:rFonts w:ascii="宋体" w:hAnsi="宋体" w:hint="eastAsia"/>
          <w:bCs/>
          <w:sz w:val="24"/>
        </w:rPr>
        <w:t>.</w:t>
      </w:r>
      <w:r w:rsidR="00592FCE">
        <w:rPr>
          <w:rFonts w:ascii="宋体" w:hAnsi="宋体" w:hint="eastAsia"/>
          <w:bCs/>
          <w:sz w:val="24"/>
        </w:rPr>
        <w:t>50</w:t>
      </w:r>
      <w:r>
        <w:rPr>
          <w:rFonts w:ascii="宋体" w:hAnsi="宋体"/>
          <w:bCs/>
          <w:sz w:val="24"/>
        </w:rPr>
        <w:t>%年费率计提。管理费的计算方法如下：</w:t>
      </w:r>
    </w:p>
    <w:p w14:paraId="3D2760B1" w14:textId="348A60E8" w:rsidR="00DD2567" w:rsidRDefault="00680E4C">
      <w:pPr>
        <w:spacing w:line="360" w:lineRule="auto"/>
        <w:ind w:firstLineChars="200" w:firstLine="480"/>
        <w:rPr>
          <w:rFonts w:ascii="宋体" w:hAnsi="宋体"/>
          <w:bCs/>
          <w:sz w:val="24"/>
        </w:rPr>
      </w:pPr>
      <w:r>
        <w:rPr>
          <w:rFonts w:ascii="宋体" w:hAnsi="宋体"/>
          <w:bCs/>
          <w:sz w:val="24"/>
        </w:rPr>
        <w:t>H＝E×</w:t>
      </w:r>
      <w:r w:rsidR="00592FCE">
        <w:rPr>
          <w:rFonts w:ascii="宋体" w:hAnsi="宋体"/>
          <w:bCs/>
          <w:sz w:val="24"/>
        </w:rPr>
        <w:t>0</w:t>
      </w:r>
      <w:r>
        <w:rPr>
          <w:rFonts w:ascii="宋体" w:hAnsi="宋体" w:hint="eastAsia"/>
          <w:bCs/>
          <w:sz w:val="24"/>
        </w:rPr>
        <w:t>.</w:t>
      </w:r>
      <w:r w:rsidR="00592FCE">
        <w:rPr>
          <w:rFonts w:ascii="宋体" w:hAnsi="宋体" w:hint="eastAsia"/>
          <w:bCs/>
          <w:sz w:val="24"/>
        </w:rPr>
        <w:t>5</w:t>
      </w:r>
      <w:r>
        <w:rPr>
          <w:rFonts w:ascii="宋体" w:hAnsi="宋体" w:hint="eastAsia"/>
          <w:bCs/>
          <w:sz w:val="24"/>
        </w:rPr>
        <w:t>0</w:t>
      </w:r>
      <w:r>
        <w:rPr>
          <w:rFonts w:ascii="宋体" w:hAnsi="宋体"/>
          <w:bCs/>
          <w:sz w:val="24"/>
        </w:rPr>
        <w:t>%÷当年天数</w:t>
      </w:r>
    </w:p>
    <w:p w14:paraId="2AB54C94" w14:textId="77777777" w:rsidR="00DD2567" w:rsidRDefault="00680E4C">
      <w:pPr>
        <w:spacing w:line="360" w:lineRule="auto"/>
        <w:ind w:firstLineChars="200" w:firstLine="480"/>
        <w:rPr>
          <w:rFonts w:ascii="宋体" w:hAnsi="宋体"/>
          <w:bCs/>
          <w:sz w:val="24"/>
        </w:rPr>
      </w:pPr>
      <w:r>
        <w:rPr>
          <w:rFonts w:ascii="宋体" w:hAnsi="宋体"/>
          <w:bCs/>
          <w:sz w:val="24"/>
        </w:rPr>
        <w:t>H为每日应计提的基金管理费</w:t>
      </w:r>
    </w:p>
    <w:p w14:paraId="0847A149" w14:textId="77777777" w:rsidR="00DD2567" w:rsidRDefault="00680E4C">
      <w:pPr>
        <w:spacing w:line="360" w:lineRule="auto"/>
        <w:ind w:firstLineChars="200" w:firstLine="480"/>
        <w:rPr>
          <w:rFonts w:ascii="宋体" w:hAnsi="宋体"/>
          <w:bCs/>
          <w:sz w:val="24"/>
        </w:rPr>
      </w:pPr>
      <w:r>
        <w:rPr>
          <w:rFonts w:ascii="宋体" w:hAnsi="宋体"/>
          <w:bCs/>
          <w:sz w:val="24"/>
        </w:rPr>
        <w:t>E为前一日的基金资产净值</w:t>
      </w:r>
    </w:p>
    <w:p w14:paraId="3F0326FD" w14:textId="77777777" w:rsidR="00DD2567" w:rsidRDefault="00680E4C">
      <w:pPr>
        <w:spacing w:line="360" w:lineRule="auto"/>
        <w:ind w:firstLineChars="200" w:firstLine="480"/>
        <w:rPr>
          <w:rFonts w:ascii="宋体" w:hAnsi="宋体"/>
          <w:bCs/>
          <w:sz w:val="24"/>
        </w:rPr>
      </w:pPr>
      <w:r>
        <w:rPr>
          <w:rFonts w:ascii="宋体" w:hAnsi="宋体"/>
          <w:bCs/>
          <w:sz w:val="24"/>
        </w:rPr>
        <w:t>基金管理费每日</w:t>
      </w:r>
      <w:r>
        <w:rPr>
          <w:rFonts w:ascii="宋体" w:hAnsi="宋体" w:hint="eastAsia"/>
          <w:bCs/>
          <w:sz w:val="24"/>
        </w:rPr>
        <w:t>计提</w:t>
      </w:r>
      <w:r>
        <w:rPr>
          <w:rFonts w:ascii="宋体" w:hAnsi="宋体"/>
          <w:bCs/>
          <w:sz w:val="24"/>
        </w:rPr>
        <w:t>，逐日累计至每月月末，按月支付</w:t>
      </w:r>
      <w:r>
        <w:rPr>
          <w:rFonts w:ascii="宋体" w:hAnsi="宋体" w:hint="eastAsia"/>
          <w:bCs/>
          <w:sz w:val="24"/>
        </w:rPr>
        <w:t>。经基金托管人复核后，</w:t>
      </w:r>
      <w:r>
        <w:rPr>
          <w:rFonts w:ascii="宋体" w:hAnsi="宋体"/>
          <w:bCs/>
          <w:sz w:val="24"/>
        </w:rPr>
        <w:t>于次月</w:t>
      </w:r>
      <w:r>
        <w:rPr>
          <w:rFonts w:ascii="宋体" w:hAnsi="宋体" w:hint="eastAsia"/>
          <w:bCs/>
          <w:sz w:val="24"/>
        </w:rPr>
        <w:t>首日起5</w:t>
      </w:r>
      <w:r>
        <w:rPr>
          <w:rFonts w:ascii="宋体" w:hAnsi="宋体"/>
          <w:bCs/>
          <w:sz w:val="24"/>
        </w:rPr>
        <w:t>个工作日内从基金财产中一次性支付给基金管理人。若遇法定节假日、</w:t>
      </w:r>
      <w:r>
        <w:rPr>
          <w:rFonts w:ascii="宋体" w:hAnsi="宋体" w:hint="eastAsia"/>
          <w:bCs/>
          <w:sz w:val="24"/>
        </w:rPr>
        <w:t>休息日</w:t>
      </w:r>
      <w:r>
        <w:rPr>
          <w:rFonts w:ascii="宋体" w:hAnsi="宋体"/>
          <w:bCs/>
          <w:sz w:val="24"/>
        </w:rPr>
        <w:t>等，支付日期顺延。</w:t>
      </w:r>
    </w:p>
    <w:p w14:paraId="76FB9DF6" w14:textId="77777777" w:rsidR="00DD2567" w:rsidRDefault="00680E4C">
      <w:pPr>
        <w:spacing w:line="360" w:lineRule="auto"/>
        <w:ind w:firstLineChars="200" w:firstLine="480"/>
        <w:rPr>
          <w:rFonts w:ascii="宋体" w:hAnsi="宋体"/>
          <w:bCs/>
          <w:sz w:val="24"/>
        </w:rPr>
      </w:pPr>
      <w:r>
        <w:rPr>
          <w:rFonts w:ascii="宋体" w:hAnsi="宋体"/>
          <w:bCs/>
          <w:sz w:val="24"/>
        </w:rPr>
        <w:t>2、基金托管人的托管费</w:t>
      </w:r>
    </w:p>
    <w:p w14:paraId="2DE7CF58" w14:textId="3BB47B33" w:rsidR="00DD2567" w:rsidRDefault="00680E4C">
      <w:pPr>
        <w:spacing w:line="360" w:lineRule="auto"/>
        <w:ind w:firstLineChars="200" w:firstLine="480"/>
        <w:rPr>
          <w:rFonts w:ascii="宋体" w:hAnsi="宋体"/>
          <w:bCs/>
          <w:sz w:val="24"/>
        </w:rPr>
      </w:pPr>
      <w:r>
        <w:rPr>
          <w:rFonts w:ascii="宋体" w:hAnsi="宋体"/>
          <w:bCs/>
          <w:sz w:val="24"/>
        </w:rPr>
        <w:t>本基金的托管费按前一日基金资产净值的</w:t>
      </w:r>
      <w:r>
        <w:rPr>
          <w:rFonts w:ascii="宋体" w:hAnsi="宋体" w:hint="eastAsia"/>
          <w:bCs/>
          <w:sz w:val="24"/>
        </w:rPr>
        <w:t>0.</w:t>
      </w:r>
      <w:r w:rsidR="00592FCE">
        <w:rPr>
          <w:rFonts w:ascii="宋体" w:hAnsi="宋体" w:hint="eastAsia"/>
          <w:bCs/>
          <w:sz w:val="24"/>
        </w:rPr>
        <w:t>10</w:t>
      </w:r>
      <w:r>
        <w:rPr>
          <w:rFonts w:ascii="宋体" w:hAnsi="宋体"/>
          <w:bCs/>
          <w:sz w:val="24"/>
        </w:rPr>
        <w:t>%的年费率计提。托管费的计算方法如下：</w:t>
      </w:r>
    </w:p>
    <w:p w14:paraId="310A28E1" w14:textId="15E721FB" w:rsidR="00DD2567" w:rsidRDefault="00680E4C">
      <w:pPr>
        <w:spacing w:line="360" w:lineRule="auto"/>
        <w:ind w:firstLineChars="200" w:firstLine="480"/>
        <w:rPr>
          <w:rFonts w:ascii="宋体" w:hAnsi="宋体"/>
          <w:bCs/>
          <w:sz w:val="24"/>
        </w:rPr>
      </w:pPr>
      <w:r>
        <w:rPr>
          <w:rFonts w:ascii="宋体" w:hAnsi="宋体"/>
          <w:bCs/>
          <w:sz w:val="24"/>
        </w:rPr>
        <w:t>H＝E×</w:t>
      </w:r>
      <w:r>
        <w:rPr>
          <w:rFonts w:ascii="宋体" w:hAnsi="宋体" w:hint="eastAsia"/>
          <w:bCs/>
          <w:sz w:val="24"/>
        </w:rPr>
        <w:t>0.</w:t>
      </w:r>
      <w:r w:rsidR="00592FCE">
        <w:rPr>
          <w:rFonts w:ascii="宋体" w:hAnsi="宋体" w:hint="eastAsia"/>
          <w:bCs/>
          <w:sz w:val="24"/>
        </w:rPr>
        <w:t>10</w:t>
      </w:r>
      <w:r>
        <w:rPr>
          <w:rFonts w:ascii="宋体" w:hAnsi="宋体"/>
          <w:bCs/>
          <w:sz w:val="24"/>
        </w:rPr>
        <w:t>%÷当年天数</w:t>
      </w:r>
    </w:p>
    <w:p w14:paraId="6DCF0545" w14:textId="77777777" w:rsidR="00DD2567" w:rsidRDefault="00680E4C">
      <w:pPr>
        <w:spacing w:line="360" w:lineRule="auto"/>
        <w:ind w:firstLineChars="200" w:firstLine="480"/>
        <w:rPr>
          <w:rFonts w:ascii="宋体" w:hAnsi="宋体"/>
          <w:bCs/>
          <w:sz w:val="24"/>
        </w:rPr>
      </w:pPr>
      <w:r>
        <w:rPr>
          <w:rFonts w:ascii="宋体" w:hAnsi="宋体"/>
          <w:bCs/>
          <w:sz w:val="24"/>
        </w:rPr>
        <w:t>H为每日应计提的基金托管费</w:t>
      </w:r>
    </w:p>
    <w:p w14:paraId="3A0A177C" w14:textId="77777777" w:rsidR="00DD2567" w:rsidRDefault="00680E4C">
      <w:pPr>
        <w:spacing w:line="360" w:lineRule="auto"/>
        <w:ind w:firstLineChars="200" w:firstLine="480"/>
        <w:rPr>
          <w:rFonts w:ascii="宋体" w:hAnsi="宋体"/>
          <w:bCs/>
          <w:sz w:val="24"/>
        </w:rPr>
      </w:pPr>
      <w:r>
        <w:rPr>
          <w:rFonts w:ascii="宋体" w:hAnsi="宋体"/>
          <w:bCs/>
          <w:sz w:val="24"/>
        </w:rPr>
        <w:t>E为前一日的基金资产净值</w:t>
      </w:r>
    </w:p>
    <w:p w14:paraId="3033CDC9" w14:textId="77777777" w:rsidR="00DD2567" w:rsidRDefault="00680E4C">
      <w:pPr>
        <w:spacing w:line="360" w:lineRule="auto"/>
        <w:ind w:firstLineChars="200" w:firstLine="480"/>
        <w:rPr>
          <w:rFonts w:ascii="宋体" w:hAnsi="宋体"/>
          <w:bCs/>
          <w:sz w:val="24"/>
        </w:rPr>
      </w:pPr>
      <w:r>
        <w:rPr>
          <w:rFonts w:ascii="宋体" w:hAnsi="宋体"/>
          <w:bCs/>
          <w:sz w:val="24"/>
        </w:rPr>
        <w:t>基金托管费每日</w:t>
      </w:r>
      <w:r>
        <w:rPr>
          <w:rFonts w:ascii="宋体" w:hAnsi="宋体" w:hint="eastAsia"/>
          <w:bCs/>
          <w:sz w:val="24"/>
        </w:rPr>
        <w:t>计提</w:t>
      </w:r>
      <w:r>
        <w:rPr>
          <w:rFonts w:ascii="宋体" w:hAnsi="宋体"/>
          <w:bCs/>
          <w:sz w:val="24"/>
        </w:rPr>
        <w:t>，逐日累计至每月月末，按月支付</w:t>
      </w:r>
      <w:r>
        <w:rPr>
          <w:rFonts w:ascii="宋体" w:hAnsi="宋体" w:hint="eastAsia"/>
          <w:bCs/>
          <w:sz w:val="24"/>
        </w:rPr>
        <w:t>。经基金托管人复核后，</w:t>
      </w:r>
      <w:r>
        <w:rPr>
          <w:rFonts w:ascii="宋体" w:hAnsi="宋体"/>
          <w:bCs/>
          <w:sz w:val="24"/>
        </w:rPr>
        <w:t>于次月</w:t>
      </w:r>
      <w:r>
        <w:rPr>
          <w:rFonts w:ascii="宋体" w:hAnsi="宋体" w:hint="eastAsia"/>
          <w:bCs/>
          <w:sz w:val="24"/>
        </w:rPr>
        <w:t>首日起5</w:t>
      </w:r>
      <w:r>
        <w:rPr>
          <w:rFonts w:ascii="宋体" w:hAnsi="宋体"/>
          <w:bCs/>
          <w:sz w:val="24"/>
        </w:rPr>
        <w:t>个工作日内从基金财产中一次性</w:t>
      </w:r>
      <w:r>
        <w:rPr>
          <w:rFonts w:ascii="宋体" w:hAnsi="宋体" w:hint="eastAsia"/>
          <w:bCs/>
          <w:sz w:val="24"/>
        </w:rPr>
        <w:t>支付给基金托管人</w:t>
      </w:r>
      <w:r>
        <w:rPr>
          <w:rFonts w:ascii="宋体" w:hAnsi="宋体"/>
          <w:bCs/>
          <w:sz w:val="24"/>
        </w:rPr>
        <w:t>。若遇法</w:t>
      </w:r>
      <w:r>
        <w:rPr>
          <w:rFonts w:ascii="宋体" w:hAnsi="宋体"/>
          <w:bCs/>
          <w:sz w:val="24"/>
        </w:rPr>
        <w:lastRenderedPageBreak/>
        <w:t>定节假日、</w:t>
      </w:r>
      <w:r>
        <w:rPr>
          <w:rFonts w:ascii="宋体" w:hAnsi="宋体" w:hint="eastAsia"/>
          <w:bCs/>
          <w:sz w:val="24"/>
        </w:rPr>
        <w:t>休息日</w:t>
      </w:r>
      <w:r>
        <w:rPr>
          <w:rFonts w:ascii="宋体" w:hAnsi="宋体"/>
          <w:bCs/>
          <w:sz w:val="24"/>
        </w:rPr>
        <w:t>等，支付日期顺延。</w:t>
      </w:r>
    </w:p>
    <w:p w14:paraId="4E6A5469" w14:textId="77777777" w:rsidR="00DD2567" w:rsidRDefault="00680E4C">
      <w:pPr>
        <w:spacing w:line="360" w:lineRule="auto"/>
        <w:ind w:firstLineChars="200" w:firstLine="480"/>
        <w:rPr>
          <w:rFonts w:ascii="宋体" w:hAnsi="宋体"/>
          <w:bCs/>
          <w:sz w:val="24"/>
        </w:rPr>
      </w:pPr>
      <w:r>
        <w:rPr>
          <w:rFonts w:ascii="宋体" w:hAnsi="宋体"/>
          <w:bCs/>
          <w:sz w:val="24"/>
        </w:rPr>
        <w:t>上述“一、基金费用的种类中第3－</w:t>
      </w:r>
      <w:r>
        <w:rPr>
          <w:rFonts w:ascii="宋体" w:hAnsi="宋体" w:hint="eastAsia"/>
          <w:bCs/>
          <w:sz w:val="24"/>
        </w:rPr>
        <w:t>8</w:t>
      </w:r>
      <w:r>
        <w:rPr>
          <w:rFonts w:ascii="宋体" w:hAnsi="宋体"/>
          <w:bCs/>
          <w:sz w:val="24"/>
        </w:rPr>
        <w:t>项费用”，根据有关法规及相应协议规定，按费用实际支出金额列入当期费用，由基金托管人从基金财产中支付。</w:t>
      </w:r>
    </w:p>
    <w:p w14:paraId="6035296B" w14:textId="77777777" w:rsidR="00DD2567" w:rsidRDefault="00680E4C">
      <w:pPr>
        <w:spacing w:line="360" w:lineRule="auto"/>
        <w:ind w:firstLineChars="200" w:firstLine="480"/>
        <w:rPr>
          <w:rFonts w:ascii="宋体" w:hAnsi="宋体"/>
          <w:bCs/>
          <w:sz w:val="24"/>
        </w:rPr>
      </w:pPr>
      <w:r>
        <w:rPr>
          <w:rFonts w:ascii="宋体" w:hAnsi="宋体"/>
          <w:bCs/>
          <w:sz w:val="24"/>
        </w:rPr>
        <w:t>三、不列入基金费用的项目</w:t>
      </w:r>
    </w:p>
    <w:p w14:paraId="7282CF93" w14:textId="77777777" w:rsidR="00DD2567" w:rsidRDefault="00680E4C">
      <w:pPr>
        <w:spacing w:line="360" w:lineRule="auto"/>
        <w:ind w:firstLineChars="200" w:firstLine="480"/>
        <w:rPr>
          <w:rFonts w:ascii="宋体" w:hAnsi="宋体"/>
          <w:bCs/>
          <w:sz w:val="24"/>
        </w:rPr>
      </w:pPr>
      <w:r>
        <w:rPr>
          <w:rFonts w:ascii="宋体" w:hAnsi="宋体"/>
          <w:bCs/>
          <w:sz w:val="24"/>
        </w:rPr>
        <w:t>下列费用不列入基金费用：</w:t>
      </w:r>
    </w:p>
    <w:p w14:paraId="1F623536" w14:textId="77777777" w:rsidR="00DD2567" w:rsidRDefault="00680E4C">
      <w:pPr>
        <w:spacing w:line="360" w:lineRule="auto"/>
        <w:ind w:firstLineChars="200" w:firstLine="480"/>
        <w:rPr>
          <w:rFonts w:ascii="宋体" w:hAnsi="宋体"/>
          <w:bCs/>
          <w:sz w:val="24"/>
        </w:rPr>
      </w:pPr>
      <w:r>
        <w:rPr>
          <w:rFonts w:ascii="宋体" w:hAnsi="宋体"/>
          <w:bCs/>
          <w:sz w:val="24"/>
        </w:rPr>
        <w:t>1、基金管理人和基金托管人因未履行或未完全履行义务导致的费用支出或基金财产的损失；</w:t>
      </w:r>
    </w:p>
    <w:p w14:paraId="15A0275F" w14:textId="77777777" w:rsidR="00DD2567" w:rsidRDefault="00680E4C">
      <w:pPr>
        <w:spacing w:line="360" w:lineRule="auto"/>
        <w:ind w:firstLineChars="200" w:firstLine="480"/>
        <w:rPr>
          <w:rFonts w:ascii="宋体" w:hAnsi="宋体"/>
          <w:bCs/>
          <w:sz w:val="24"/>
        </w:rPr>
      </w:pPr>
      <w:r>
        <w:rPr>
          <w:rFonts w:ascii="宋体" w:hAnsi="宋体"/>
          <w:bCs/>
          <w:sz w:val="24"/>
        </w:rPr>
        <w:t>2、基金管理人和基金托管人处理与基金运作无关的事项发生的费用；</w:t>
      </w:r>
    </w:p>
    <w:p w14:paraId="3C131751" w14:textId="77777777" w:rsidR="00DD2567" w:rsidRDefault="00680E4C">
      <w:pPr>
        <w:spacing w:line="360" w:lineRule="auto"/>
        <w:ind w:firstLineChars="200" w:firstLine="480"/>
        <w:rPr>
          <w:rFonts w:ascii="宋体" w:hAnsi="宋体"/>
          <w:bCs/>
          <w:sz w:val="24"/>
        </w:rPr>
      </w:pPr>
      <w:r>
        <w:rPr>
          <w:rFonts w:ascii="宋体" w:hAnsi="宋体"/>
          <w:bCs/>
          <w:sz w:val="24"/>
        </w:rPr>
        <w:t>3、基金合同生效前的相关费用；</w:t>
      </w:r>
    </w:p>
    <w:p w14:paraId="437253EB" w14:textId="77777777" w:rsidR="00DD2567" w:rsidRDefault="00680E4C">
      <w:pPr>
        <w:spacing w:line="360" w:lineRule="auto"/>
        <w:ind w:firstLineChars="200" w:firstLine="480"/>
        <w:rPr>
          <w:rFonts w:ascii="宋体" w:hAnsi="宋体"/>
          <w:bCs/>
          <w:sz w:val="24"/>
        </w:rPr>
      </w:pPr>
      <w:r>
        <w:rPr>
          <w:rFonts w:ascii="宋体" w:hAnsi="宋体"/>
          <w:bCs/>
          <w:sz w:val="24"/>
        </w:rPr>
        <w:t>4、其他根据相关法律法规及中国证监会的有关规定不得列入基金费用的项目。</w:t>
      </w:r>
      <w:bookmarkStart w:id="258" w:name="_Hlt88827255"/>
      <w:bookmarkEnd w:id="258"/>
    </w:p>
    <w:p w14:paraId="140A41E1" w14:textId="77777777" w:rsidR="00DD2567" w:rsidRDefault="00680E4C">
      <w:pPr>
        <w:spacing w:line="360" w:lineRule="auto"/>
        <w:ind w:firstLineChars="200" w:firstLine="480"/>
        <w:rPr>
          <w:rFonts w:ascii="宋体" w:hAnsi="宋体"/>
          <w:bCs/>
          <w:sz w:val="24"/>
        </w:rPr>
      </w:pPr>
      <w:r>
        <w:rPr>
          <w:rFonts w:ascii="宋体" w:hAnsi="宋体"/>
          <w:bCs/>
          <w:sz w:val="24"/>
        </w:rPr>
        <w:t>四、基金税收</w:t>
      </w:r>
    </w:p>
    <w:p w14:paraId="688E109B" w14:textId="77777777" w:rsidR="00DD2567" w:rsidRDefault="00680E4C">
      <w:pPr>
        <w:spacing w:line="360" w:lineRule="auto"/>
        <w:ind w:firstLineChars="200" w:firstLine="480"/>
        <w:rPr>
          <w:rFonts w:ascii="宋体" w:hAnsi="宋体"/>
          <w:bCs/>
          <w:sz w:val="24"/>
        </w:rPr>
      </w:pPr>
      <w:r>
        <w:rPr>
          <w:rFonts w:ascii="宋体" w:hAnsi="宋体"/>
          <w:bCs/>
          <w:sz w:val="24"/>
        </w:rPr>
        <w:t>本基金运作过程中涉及的各纳税主体，其纳税义务按国家税收法律、法规执行。</w:t>
      </w:r>
    </w:p>
    <w:p w14:paraId="2D1FE92B" w14:textId="48E6284F" w:rsidR="00DD2567" w:rsidRDefault="00680E4C">
      <w:pPr>
        <w:pStyle w:val="1"/>
        <w:spacing w:before="0" w:after="0"/>
        <w:jc w:val="center"/>
        <w:rPr>
          <w:rFonts w:ascii="Times New Roman"/>
          <w:color w:val="auto"/>
          <w:sz w:val="30"/>
        </w:rPr>
      </w:pPr>
      <w:bookmarkStart w:id="259" w:name="_Hlt88841837"/>
      <w:bookmarkStart w:id="260" w:name="_Hlt88900062"/>
      <w:bookmarkEnd w:id="259"/>
      <w:bookmarkEnd w:id="260"/>
      <w:r>
        <w:rPr>
          <w:rFonts w:ascii="Times New Roman"/>
          <w:b w:val="0"/>
          <w:bCs/>
          <w:color w:val="auto"/>
          <w:kern w:val="44"/>
          <w:sz w:val="21"/>
        </w:rPr>
        <w:br w:type="page"/>
      </w:r>
      <w:bookmarkStart w:id="261" w:name="_Toc17782"/>
      <w:bookmarkStart w:id="262" w:name="_Toc7802"/>
      <w:bookmarkStart w:id="263" w:name="_Toc19714"/>
      <w:bookmarkStart w:id="264" w:name="_Toc31917"/>
      <w:bookmarkStart w:id="265" w:name="_Toc27832"/>
      <w:bookmarkStart w:id="266" w:name="_Toc871"/>
      <w:bookmarkStart w:id="267" w:name="_Toc342469903"/>
      <w:bookmarkStart w:id="268" w:name="_Toc141703894"/>
      <w:bookmarkStart w:id="269" w:name="_Toc139991744"/>
      <w:r>
        <w:rPr>
          <w:rFonts w:ascii="Times New Roman"/>
          <w:color w:val="auto"/>
          <w:sz w:val="30"/>
        </w:rPr>
        <w:lastRenderedPageBreak/>
        <w:t>第十四部分</w:t>
      </w:r>
      <w:r w:rsidR="007B4A6C">
        <w:rPr>
          <w:rFonts w:ascii="Times New Roman" w:hint="eastAsia"/>
          <w:color w:val="auto"/>
          <w:sz w:val="30"/>
        </w:rPr>
        <w:t xml:space="preserve"> </w:t>
      </w:r>
      <w:r>
        <w:rPr>
          <w:rFonts w:ascii="Times New Roman"/>
          <w:color w:val="auto"/>
          <w:sz w:val="30"/>
        </w:rPr>
        <w:t>基金</w:t>
      </w:r>
      <w:bookmarkEnd w:id="261"/>
      <w:bookmarkEnd w:id="262"/>
      <w:bookmarkEnd w:id="263"/>
      <w:bookmarkEnd w:id="264"/>
      <w:bookmarkEnd w:id="265"/>
      <w:bookmarkEnd w:id="266"/>
      <w:r>
        <w:rPr>
          <w:rFonts w:ascii="Times New Roman" w:hint="eastAsia"/>
          <w:color w:val="auto"/>
          <w:sz w:val="30"/>
        </w:rPr>
        <w:t>的会计与审计</w:t>
      </w:r>
      <w:bookmarkEnd w:id="267"/>
    </w:p>
    <w:p w14:paraId="3C40EED0" w14:textId="77777777" w:rsidR="00DD2567" w:rsidRDefault="00DD2567">
      <w:pPr>
        <w:spacing w:line="360" w:lineRule="auto"/>
        <w:ind w:firstLineChars="200" w:firstLine="480"/>
        <w:rPr>
          <w:bCs/>
          <w:sz w:val="24"/>
        </w:rPr>
      </w:pPr>
    </w:p>
    <w:p w14:paraId="22167363" w14:textId="77777777" w:rsidR="00DD2567" w:rsidRDefault="00680E4C">
      <w:pPr>
        <w:spacing w:line="360" w:lineRule="auto"/>
        <w:ind w:firstLineChars="200" w:firstLine="480"/>
        <w:rPr>
          <w:rFonts w:ascii="宋体" w:hAnsi="宋体"/>
          <w:bCs/>
          <w:sz w:val="24"/>
        </w:rPr>
      </w:pPr>
      <w:bookmarkStart w:id="270" w:name="_Toc141703895"/>
      <w:bookmarkStart w:id="271" w:name="_Toc139991745"/>
      <w:bookmarkStart w:id="272" w:name="_Toc32046"/>
      <w:bookmarkEnd w:id="268"/>
      <w:bookmarkEnd w:id="269"/>
      <w:r>
        <w:rPr>
          <w:rFonts w:ascii="宋体" w:hAnsi="宋体"/>
          <w:bCs/>
          <w:sz w:val="24"/>
        </w:rPr>
        <w:t>一、基金会计政策</w:t>
      </w:r>
    </w:p>
    <w:p w14:paraId="52555DED" w14:textId="77777777" w:rsidR="00DD2567" w:rsidRDefault="00680E4C">
      <w:pPr>
        <w:spacing w:line="360" w:lineRule="auto"/>
        <w:ind w:firstLineChars="200" w:firstLine="480"/>
        <w:rPr>
          <w:rFonts w:ascii="宋体" w:hAnsi="宋体"/>
          <w:bCs/>
          <w:sz w:val="24"/>
        </w:rPr>
      </w:pPr>
      <w:r>
        <w:rPr>
          <w:rFonts w:ascii="宋体" w:hAnsi="宋体"/>
          <w:bCs/>
          <w:sz w:val="24"/>
        </w:rPr>
        <w:t>1、基金管理人为本基金的基金会计责任方；</w:t>
      </w:r>
    </w:p>
    <w:p w14:paraId="30013972" w14:textId="77777777" w:rsidR="00DD2567" w:rsidRDefault="00680E4C">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3A0596EB" w14:textId="77777777" w:rsidR="00DD2567" w:rsidRDefault="00680E4C">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037B7A4F" w14:textId="77777777" w:rsidR="00DD2567" w:rsidRDefault="00680E4C">
      <w:pPr>
        <w:spacing w:line="360" w:lineRule="auto"/>
        <w:ind w:firstLineChars="200" w:firstLine="480"/>
        <w:rPr>
          <w:rFonts w:ascii="宋体" w:hAnsi="宋体"/>
          <w:bCs/>
          <w:sz w:val="24"/>
        </w:rPr>
      </w:pPr>
      <w:r>
        <w:rPr>
          <w:rFonts w:ascii="宋体" w:hAnsi="宋体"/>
          <w:bCs/>
          <w:sz w:val="24"/>
        </w:rPr>
        <w:t>4、会计制度执行国家有关会计制度；</w:t>
      </w:r>
    </w:p>
    <w:p w14:paraId="330FE05F" w14:textId="77777777" w:rsidR="00DD2567" w:rsidRDefault="00680E4C">
      <w:pPr>
        <w:spacing w:line="360" w:lineRule="auto"/>
        <w:ind w:firstLineChars="200" w:firstLine="480"/>
        <w:rPr>
          <w:rFonts w:ascii="宋体" w:hAnsi="宋体"/>
          <w:bCs/>
          <w:sz w:val="24"/>
        </w:rPr>
      </w:pPr>
      <w:r>
        <w:rPr>
          <w:rFonts w:ascii="宋体" w:hAnsi="宋体"/>
          <w:bCs/>
          <w:sz w:val="24"/>
        </w:rPr>
        <w:t>5、本基金独立建账、独立核算；</w:t>
      </w:r>
    </w:p>
    <w:p w14:paraId="031F74C8" w14:textId="77777777" w:rsidR="00DD2567" w:rsidRDefault="00680E4C">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68CFCF15" w14:textId="77777777" w:rsidR="00DD2567" w:rsidRDefault="00680E4C">
      <w:pPr>
        <w:spacing w:line="360" w:lineRule="auto"/>
        <w:ind w:firstLineChars="200" w:firstLine="480"/>
        <w:rPr>
          <w:rFonts w:ascii="宋体" w:hAnsi="宋体"/>
          <w:bCs/>
          <w:sz w:val="24"/>
        </w:rPr>
      </w:pPr>
      <w:r>
        <w:rPr>
          <w:rFonts w:ascii="宋体" w:hAnsi="宋体"/>
          <w:bCs/>
          <w:sz w:val="24"/>
        </w:rPr>
        <w:t>7、基金托管人每月与基金管理人就基金的会计核算、报表编制等进行核对并以</w:t>
      </w:r>
      <w:r>
        <w:rPr>
          <w:rFonts w:ascii="宋体" w:hAnsi="宋体" w:hint="eastAsia"/>
          <w:bCs/>
          <w:sz w:val="24"/>
        </w:rPr>
        <w:t>托管协议约定的方式</w:t>
      </w:r>
      <w:r>
        <w:rPr>
          <w:rFonts w:ascii="宋体" w:hAnsi="宋体"/>
          <w:bCs/>
          <w:sz w:val="24"/>
        </w:rPr>
        <w:t>确认。</w:t>
      </w:r>
    </w:p>
    <w:p w14:paraId="07483BD7" w14:textId="77777777" w:rsidR="00DD2567" w:rsidRDefault="00680E4C">
      <w:pPr>
        <w:spacing w:line="360" w:lineRule="auto"/>
        <w:ind w:firstLineChars="200" w:firstLine="480"/>
        <w:rPr>
          <w:rFonts w:ascii="宋体" w:hAnsi="宋体"/>
          <w:bCs/>
          <w:sz w:val="24"/>
        </w:rPr>
      </w:pPr>
      <w:r>
        <w:rPr>
          <w:rFonts w:ascii="宋体" w:hAnsi="宋体"/>
          <w:bCs/>
          <w:sz w:val="24"/>
        </w:rPr>
        <w:t>二、基金的年度审计</w:t>
      </w:r>
    </w:p>
    <w:p w14:paraId="792C5E1A" w14:textId="77777777" w:rsidR="00DD2567" w:rsidRDefault="00680E4C">
      <w:pPr>
        <w:spacing w:line="360" w:lineRule="auto"/>
        <w:ind w:firstLineChars="200" w:firstLine="480"/>
        <w:rPr>
          <w:rFonts w:ascii="宋体" w:hAnsi="宋体"/>
          <w:bCs/>
          <w:sz w:val="24"/>
        </w:rPr>
      </w:pPr>
      <w:r>
        <w:rPr>
          <w:rFonts w:ascii="宋体" w:hAnsi="宋体"/>
          <w:bCs/>
          <w:sz w:val="24"/>
        </w:rPr>
        <w:t>1、基金管理人聘请与基金管理人、基金托管人相互独立的具有证券从业资格的会计师事务所及其注册会计师对本基金的年度财务报表进行审计。</w:t>
      </w:r>
    </w:p>
    <w:p w14:paraId="3622F1B9" w14:textId="77777777" w:rsidR="00DD2567" w:rsidRDefault="00680E4C">
      <w:pPr>
        <w:spacing w:line="360" w:lineRule="auto"/>
        <w:ind w:firstLineChars="200" w:firstLine="480"/>
        <w:rPr>
          <w:rFonts w:ascii="宋体" w:hAnsi="宋体"/>
          <w:bCs/>
          <w:sz w:val="24"/>
        </w:rPr>
      </w:pPr>
      <w:r>
        <w:rPr>
          <w:rFonts w:ascii="宋体" w:hAnsi="宋体"/>
          <w:bCs/>
          <w:sz w:val="24"/>
        </w:rPr>
        <w:t>2、会计师事务所更换经办注册会计师，应事先征得基金管理人同意。</w:t>
      </w:r>
    </w:p>
    <w:p w14:paraId="75A01DCC" w14:textId="77777777" w:rsidR="00DD2567" w:rsidRDefault="00680E4C">
      <w:pPr>
        <w:spacing w:line="360" w:lineRule="auto"/>
        <w:ind w:firstLineChars="200" w:firstLine="480"/>
        <w:rPr>
          <w:rFonts w:ascii="宋体" w:hAnsi="宋体"/>
          <w:bCs/>
          <w:sz w:val="24"/>
        </w:rPr>
      </w:pPr>
      <w:r>
        <w:rPr>
          <w:rFonts w:ascii="宋体" w:hAnsi="宋体"/>
          <w:bCs/>
          <w:sz w:val="24"/>
        </w:rPr>
        <w:t>3、</w:t>
      </w:r>
      <w:bookmarkStart w:id="273" w:name="_Hlt4221115"/>
      <w:bookmarkEnd w:id="273"/>
      <w:r>
        <w:rPr>
          <w:rFonts w:ascii="宋体" w:hAnsi="宋体"/>
          <w:bCs/>
          <w:sz w:val="24"/>
        </w:rPr>
        <w:t>基金管理人认为有充足理由更换会计师事务所，须通报基金托管人。更换会计师事务所需在2日内在</w:t>
      </w:r>
      <w:r>
        <w:rPr>
          <w:rFonts w:ascii="宋体" w:hAnsi="宋体" w:hint="eastAsia"/>
          <w:bCs/>
          <w:sz w:val="24"/>
        </w:rPr>
        <w:t>指定媒介</w:t>
      </w:r>
      <w:r>
        <w:rPr>
          <w:rFonts w:ascii="宋体" w:hAnsi="宋体"/>
          <w:bCs/>
          <w:sz w:val="24"/>
        </w:rPr>
        <w:t>公告并报中国证监会备案。</w:t>
      </w:r>
    </w:p>
    <w:p w14:paraId="1AA401EA" w14:textId="40A54AD2" w:rsidR="00DD2567" w:rsidRDefault="00680E4C">
      <w:pPr>
        <w:pStyle w:val="1"/>
        <w:spacing w:before="0" w:after="0"/>
        <w:jc w:val="center"/>
        <w:rPr>
          <w:rFonts w:ascii="Times New Roman"/>
          <w:color w:val="auto"/>
          <w:sz w:val="30"/>
        </w:rPr>
      </w:pPr>
      <w:r>
        <w:rPr>
          <w:rFonts w:ascii="Times New Roman"/>
          <w:b w:val="0"/>
          <w:bCs/>
          <w:color w:val="auto"/>
          <w:sz w:val="30"/>
        </w:rPr>
        <w:br w:type="page"/>
      </w:r>
      <w:bookmarkStart w:id="274" w:name="_Toc24601"/>
      <w:bookmarkStart w:id="275" w:name="_Toc32041"/>
      <w:bookmarkStart w:id="276" w:name="_Toc19752"/>
      <w:bookmarkStart w:id="277" w:name="_Toc13987"/>
      <w:bookmarkStart w:id="278" w:name="_Toc3365"/>
      <w:bookmarkStart w:id="279" w:name="_Toc32227"/>
      <w:bookmarkStart w:id="280" w:name="_Toc12105"/>
      <w:bookmarkStart w:id="281" w:name="_Toc15779"/>
      <w:bookmarkStart w:id="282" w:name="_Toc19706"/>
      <w:bookmarkStart w:id="283" w:name="_Toc342469904"/>
      <w:r>
        <w:rPr>
          <w:rFonts w:ascii="Times New Roman"/>
          <w:color w:val="auto"/>
          <w:sz w:val="30"/>
        </w:rPr>
        <w:lastRenderedPageBreak/>
        <w:t>第十五部分</w:t>
      </w:r>
      <w:r w:rsidR="007B4A6C">
        <w:rPr>
          <w:rFonts w:ascii="Times New Roman" w:hint="eastAsia"/>
          <w:color w:val="auto"/>
          <w:sz w:val="30"/>
        </w:rPr>
        <w:t xml:space="preserve"> </w:t>
      </w:r>
      <w:r>
        <w:rPr>
          <w:rFonts w:ascii="Times New Roman"/>
          <w:color w:val="auto"/>
          <w:sz w:val="30"/>
        </w:rPr>
        <w:t>基金</w:t>
      </w:r>
      <w:bookmarkEnd w:id="270"/>
      <w:bookmarkEnd w:id="271"/>
      <w:bookmarkEnd w:id="272"/>
      <w:bookmarkEnd w:id="274"/>
      <w:bookmarkEnd w:id="275"/>
      <w:bookmarkEnd w:id="276"/>
      <w:bookmarkEnd w:id="277"/>
      <w:bookmarkEnd w:id="278"/>
      <w:bookmarkEnd w:id="279"/>
      <w:bookmarkEnd w:id="280"/>
      <w:bookmarkEnd w:id="281"/>
      <w:bookmarkEnd w:id="282"/>
      <w:r>
        <w:rPr>
          <w:rFonts w:ascii="Times New Roman" w:hint="eastAsia"/>
          <w:color w:val="auto"/>
          <w:sz w:val="30"/>
        </w:rPr>
        <w:t>的信息披露</w:t>
      </w:r>
      <w:bookmarkEnd w:id="283"/>
    </w:p>
    <w:p w14:paraId="20EA2994" w14:textId="77777777" w:rsidR="00DD2567" w:rsidRDefault="00DD2567">
      <w:pPr>
        <w:spacing w:line="360" w:lineRule="auto"/>
        <w:ind w:firstLineChars="200" w:firstLine="480"/>
        <w:rPr>
          <w:bCs/>
          <w:sz w:val="24"/>
        </w:rPr>
      </w:pPr>
    </w:p>
    <w:p w14:paraId="5249D5C0" w14:textId="77777777" w:rsidR="00DD2567" w:rsidRDefault="00680E4C">
      <w:pPr>
        <w:spacing w:line="360" w:lineRule="auto"/>
        <w:ind w:firstLineChars="200" w:firstLine="480"/>
        <w:rPr>
          <w:rFonts w:ascii="宋体" w:hAnsi="宋体"/>
          <w:bCs/>
          <w:sz w:val="24"/>
        </w:rPr>
      </w:pPr>
      <w:bookmarkStart w:id="284" w:name="_Toc93226149"/>
      <w:bookmarkStart w:id="285" w:name="_Toc141703896"/>
      <w:bookmarkStart w:id="286" w:name="_Toc22552"/>
      <w:bookmarkStart w:id="287" w:name="_Toc128310499"/>
      <w:bookmarkStart w:id="288" w:name="_Toc92662707"/>
      <w:bookmarkStart w:id="289" w:name="_Toc139991746"/>
      <w:r>
        <w:rPr>
          <w:rFonts w:ascii="宋体" w:hAnsi="宋体"/>
          <w:bCs/>
          <w:sz w:val="24"/>
        </w:rPr>
        <w:t>一、本基金的信息披露应符合《基金法》、《运作办法》、《信息披露办法》、《基金合同》及其他有关规定。</w:t>
      </w:r>
    </w:p>
    <w:p w14:paraId="759A0F6C" w14:textId="77777777" w:rsidR="00DD2567" w:rsidRDefault="00680E4C">
      <w:pPr>
        <w:spacing w:line="360" w:lineRule="auto"/>
        <w:ind w:firstLineChars="200" w:firstLine="480"/>
        <w:rPr>
          <w:rFonts w:ascii="宋体" w:hAnsi="宋体"/>
          <w:bCs/>
          <w:sz w:val="24"/>
        </w:rPr>
      </w:pPr>
      <w:r>
        <w:rPr>
          <w:rFonts w:ascii="宋体" w:hAnsi="宋体"/>
          <w:bCs/>
          <w:sz w:val="24"/>
        </w:rPr>
        <w:t>二、信息披露义务人</w:t>
      </w:r>
    </w:p>
    <w:p w14:paraId="324E98EC" w14:textId="77777777" w:rsidR="00DD2567" w:rsidRDefault="00680E4C">
      <w:pPr>
        <w:spacing w:line="360" w:lineRule="auto"/>
        <w:ind w:firstLineChars="200" w:firstLine="480"/>
        <w:rPr>
          <w:rFonts w:ascii="宋体" w:hAnsi="宋体"/>
          <w:bCs/>
          <w:sz w:val="24"/>
        </w:rPr>
      </w:pPr>
      <w:r>
        <w:rPr>
          <w:rFonts w:ascii="宋体" w:hAnsi="宋体"/>
          <w:bCs/>
          <w:sz w:val="24"/>
        </w:rPr>
        <w:t>本基金信息披露义务人包括基金管理人、基金托管人、召集基金份额持有人大会的基金份额持有人等法律法规和中国证监会规定的自然人、法人和其他组织。</w:t>
      </w:r>
    </w:p>
    <w:p w14:paraId="0C4D64CA" w14:textId="77777777" w:rsidR="00DD2567" w:rsidRDefault="00680E4C">
      <w:pPr>
        <w:spacing w:line="360" w:lineRule="auto"/>
        <w:ind w:firstLineChars="200" w:firstLine="480"/>
        <w:rPr>
          <w:rFonts w:ascii="宋体" w:hAnsi="宋体"/>
          <w:bCs/>
          <w:sz w:val="24"/>
        </w:rPr>
      </w:pPr>
      <w:r>
        <w:rPr>
          <w:rFonts w:ascii="宋体" w:hAnsi="宋体"/>
          <w:bCs/>
          <w:sz w:val="24"/>
        </w:rPr>
        <w:t>本基金信息披露义务人按照法律法规和中国证监会的规定披露基金信息，并保证所披露信息的真实性、准确性和完整性。</w:t>
      </w:r>
    </w:p>
    <w:p w14:paraId="10203EB3" w14:textId="77777777" w:rsidR="00DD2567" w:rsidRDefault="00680E4C">
      <w:pPr>
        <w:spacing w:line="360" w:lineRule="auto"/>
        <w:ind w:firstLineChars="200" w:firstLine="480"/>
        <w:rPr>
          <w:rFonts w:ascii="宋体" w:hAnsi="宋体"/>
          <w:bCs/>
          <w:sz w:val="24"/>
        </w:rPr>
      </w:pPr>
      <w:r>
        <w:rPr>
          <w:rFonts w:ascii="宋体" w:hAnsi="宋体"/>
          <w:bCs/>
          <w:sz w:val="24"/>
        </w:rPr>
        <w:t>本基金信息披露义务人应当在中国证监会规定时间内，将应予披露的基金信息通过中国证监会</w:t>
      </w:r>
      <w:r>
        <w:rPr>
          <w:rFonts w:ascii="宋体" w:hAnsi="宋体" w:hint="eastAsia"/>
          <w:bCs/>
          <w:sz w:val="24"/>
        </w:rPr>
        <w:t>的</w:t>
      </w:r>
      <w:r>
        <w:rPr>
          <w:rFonts w:ascii="宋体" w:hAnsi="宋体"/>
          <w:bCs/>
          <w:sz w:val="24"/>
        </w:rPr>
        <w:t>指定媒介</w:t>
      </w:r>
      <w:r>
        <w:rPr>
          <w:rFonts w:ascii="宋体" w:hAnsi="宋体" w:hint="eastAsia"/>
          <w:bCs/>
          <w:sz w:val="24"/>
        </w:rPr>
        <w:t>披露</w:t>
      </w:r>
      <w:r>
        <w:rPr>
          <w:rFonts w:ascii="宋体" w:hAnsi="宋体"/>
          <w:bCs/>
          <w:sz w:val="24"/>
        </w:rPr>
        <w:t>，并保证基金投资者能够按照《基金合同》约定的时间和方式查阅或者复制公开披露的信息资料。</w:t>
      </w:r>
    </w:p>
    <w:p w14:paraId="40121E09" w14:textId="77777777" w:rsidR="00DD2567" w:rsidRDefault="00680E4C">
      <w:pPr>
        <w:spacing w:line="360" w:lineRule="auto"/>
        <w:ind w:firstLineChars="200" w:firstLine="480"/>
        <w:rPr>
          <w:rFonts w:ascii="宋体" w:hAnsi="宋体"/>
          <w:bCs/>
          <w:sz w:val="24"/>
        </w:rPr>
      </w:pPr>
      <w:r>
        <w:rPr>
          <w:rFonts w:ascii="宋体" w:hAnsi="宋体"/>
          <w:bCs/>
          <w:sz w:val="24"/>
        </w:rPr>
        <w:t>三、本基金信息披露义务人承诺公开披露的基金信息，不得有下列行为：</w:t>
      </w:r>
    </w:p>
    <w:p w14:paraId="12172447" w14:textId="77777777" w:rsidR="00DD2567" w:rsidRDefault="00680E4C">
      <w:pPr>
        <w:spacing w:line="360" w:lineRule="auto"/>
        <w:ind w:firstLineChars="200" w:firstLine="480"/>
        <w:rPr>
          <w:rFonts w:ascii="宋体" w:hAnsi="宋体"/>
          <w:bCs/>
          <w:sz w:val="24"/>
        </w:rPr>
      </w:pPr>
      <w:r>
        <w:rPr>
          <w:rFonts w:ascii="宋体" w:hAnsi="宋体"/>
          <w:bCs/>
          <w:sz w:val="24"/>
        </w:rPr>
        <w:t>1、虚假记载、误导性陈述或者重大遗漏；</w:t>
      </w:r>
    </w:p>
    <w:p w14:paraId="1CD76594" w14:textId="77777777" w:rsidR="00DD2567" w:rsidRDefault="00680E4C">
      <w:pPr>
        <w:spacing w:line="360" w:lineRule="auto"/>
        <w:ind w:firstLineChars="200" w:firstLine="480"/>
        <w:rPr>
          <w:rFonts w:ascii="宋体" w:hAnsi="宋体"/>
          <w:bCs/>
          <w:sz w:val="24"/>
        </w:rPr>
      </w:pPr>
      <w:r>
        <w:rPr>
          <w:rFonts w:ascii="宋体" w:hAnsi="宋体"/>
          <w:bCs/>
          <w:sz w:val="24"/>
        </w:rPr>
        <w:t>2、对证券投资业绩进行预测；</w:t>
      </w:r>
    </w:p>
    <w:p w14:paraId="0E609192" w14:textId="77777777" w:rsidR="00DD2567" w:rsidRDefault="00680E4C">
      <w:pPr>
        <w:spacing w:line="360" w:lineRule="auto"/>
        <w:ind w:firstLineChars="200" w:firstLine="480"/>
        <w:rPr>
          <w:rFonts w:ascii="宋体" w:hAnsi="宋体"/>
          <w:bCs/>
          <w:sz w:val="24"/>
        </w:rPr>
      </w:pPr>
      <w:r>
        <w:rPr>
          <w:rFonts w:ascii="宋体" w:hAnsi="宋体"/>
          <w:bCs/>
          <w:sz w:val="24"/>
        </w:rPr>
        <w:t>3、违规承诺收益或者承担损失；</w:t>
      </w:r>
    </w:p>
    <w:p w14:paraId="29BD475C" w14:textId="77777777" w:rsidR="00DD2567" w:rsidRDefault="00680E4C">
      <w:pPr>
        <w:spacing w:line="360" w:lineRule="auto"/>
        <w:ind w:firstLineChars="200" w:firstLine="480"/>
        <w:rPr>
          <w:rFonts w:ascii="宋体" w:hAnsi="宋体"/>
          <w:bCs/>
          <w:sz w:val="24"/>
        </w:rPr>
      </w:pPr>
      <w:r>
        <w:rPr>
          <w:rFonts w:ascii="宋体" w:hAnsi="宋体"/>
          <w:bCs/>
          <w:sz w:val="24"/>
        </w:rPr>
        <w:t>4、诋毁其他基金管理人、基金托管人或者基金销售机构；</w:t>
      </w:r>
    </w:p>
    <w:p w14:paraId="5D676C89" w14:textId="77777777" w:rsidR="00DD2567" w:rsidRDefault="00680E4C">
      <w:pPr>
        <w:spacing w:line="360" w:lineRule="auto"/>
        <w:ind w:firstLineChars="200" w:firstLine="480"/>
        <w:rPr>
          <w:rFonts w:ascii="宋体" w:hAnsi="宋体"/>
          <w:bCs/>
          <w:sz w:val="24"/>
        </w:rPr>
      </w:pPr>
      <w:r>
        <w:rPr>
          <w:rFonts w:ascii="宋体" w:hAnsi="宋体"/>
          <w:bCs/>
          <w:sz w:val="24"/>
        </w:rPr>
        <w:t>5、登载任何自然人、法人或者其他组织的祝贺性、恭维性或推荐性的文字；</w:t>
      </w:r>
    </w:p>
    <w:p w14:paraId="63BBB4FC" w14:textId="77777777" w:rsidR="00DD2567" w:rsidRDefault="00680E4C">
      <w:pPr>
        <w:spacing w:line="360" w:lineRule="auto"/>
        <w:ind w:firstLineChars="200" w:firstLine="480"/>
        <w:rPr>
          <w:rFonts w:ascii="宋体" w:hAnsi="宋体"/>
          <w:bCs/>
          <w:sz w:val="24"/>
        </w:rPr>
      </w:pPr>
      <w:r>
        <w:rPr>
          <w:rFonts w:ascii="宋体" w:hAnsi="宋体"/>
          <w:bCs/>
          <w:sz w:val="24"/>
        </w:rPr>
        <w:t>6、中国证监会禁止的其他行为。</w:t>
      </w:r>
    </w:p>
    <w:p w14:paraId="331B12FF" w14:textId="77777777" w:rsidR="00DD2567" w:rsidRDefault="00680E4C">
      <w:pPr>
        <w:spacing w:line="360" w:lineRule="auto"/>
        <w:ind w:firstLineChars="200" w:firstLine="480"/>
        <w:rPr>
          <w:rFonts w:ascii="宋体" w:hAnsi="宋体"/>
          <w:bCs/>
          <w:sz w:val="24"/>
        </w:rPr>
      </w:pPr>
      <w:r>
        <w:rPr>
          <w:rFonts w:ascii="宋体" w:hAnsi="宋体"/>
          <w:bCs/>
          <w:sz w:val="24"/>
        </w:rPr>
        <w:t>四、本基金公开披露的信息应采用中文文本。如同时采用外文文本的，基金信息披露义务人应保证两种文本的内容一致。两种文本发生歧义的，以中文文本为准。</w:t>
      </w:r>
    </w:p>
    <w:p w14:paraId="30B4863F" w14:textId="77777777" w:rsidR="00DD2567" w:rsidRDefault="00680E4C">
      <w:pPr>
        <w:spacing w:line="360" w:lineRule="auto"/>
        <w:ind w:firstLineChars="200" w:firstLine="480"/>
        <w:rPr>
          <w:rFonts w:ascii="宋体" w:hAnsi="宋体"/>
          <w:bCs/>
          <w:sz w:val="24"/>
        </w:rPr>
      </w:pPr>
      <w:r>
        <w:rPr>
          <w:rFonts w:ascii="宋体" w:hAnsi="宋体"/>
          <w:bCs/>
          <w:sz w:val="24"/>
        </w:rPr>
        <w:t>本基金公开披露的信息采用阿拉伯数字；除特别说明外，货币单位为人民币元。</w:t>
      </w:r>
    </w:p>
    <w:p w14:paraId="188EEEEA" w14:textId="77777777" w:rsidR="00DD2567" w:rsidRDefault="00680E4C">
      <w:pPr>
        <w:spacing w:line="360" w:lineRule="auto"/>
        <w:ind w:firstLineChars="200" w:firstLine="480"/>
        <w:rPr>
          <w:rFonts w:ascii="宋体" w:hAnsi="宋体"/>
          <w:bCs/>
          <w:sz w:val="24"/>
        </w:rPr>
      </w:pPr>
      <w:r>
        <w:rPr>
          <w:rFonts w:ascii="宋体" w:hAnsi="宋体"/>
          <w:bCs/>
          <w:sz w:val="24"/>
        </w:rPr>
        <w:t>五、公开披露的基金信息</w:t>
      </w:r>
    </w:p>
    <w:p w14:paraId="3E703A2F" w14:textId="77777777" w:rsidR="00DD2567" w:rsidRDefault="00680E4C">
      <w:pPr>
        <w:spacing w:line="360" w:lineRule="auto"/>
        <w:ind w:firstLineChars="200" w:firstLine="480"/>
        <w:rPr>
          <w:rFonts w:ascii="宋体" w:hAnsi="宋体"/>
          <w:bCs/>
          <w:sz w:val="24"/>
        </w:rPr>
      </w:pPr>
      <w:r>
        <w:rPr>
          <w:rFonts w:ascii="宋体" w:hAnsi="宋体"/>
          <w:bCs/>
          <w:sz w:val="24"/>
        </w:rPr>
        <w:t>公开披露的基金信息包括：</w:t>
      </w:r>
    </w:p>
    <w:p w14:paraId="7274F93C" w14:textId="77777777" w:rsidR="00DD2567" w:rsidRDefault="00680E4C">
      <w:pPr>
        <w:spacing w:line="360" w:lineRule="auto"/>
        <w:ind w:firstLineChars="200" w:firstLine="480"/>
        <w:rPr>
          <w:rFonts w:ascii="宋体" w:hAnsi="宋体"/>
          <w:bCs/>
          <w:sz w:val="24"/>
        </w:rPr>
      </w:pPr>
      <w:r>
        <w:rPr>
          <w:rFonts w:ascii="宋体" w:hAnsi="宋体"/>
          <w:bCs/>
          <w:sz w:val="24"/>
        </w:rPr>
        <w:t>（一）基金招募说明书、《基金合同》、基金托管协议</w:t>
      </w:r>
    </w:p>
    <w:p w14:paraId="0C8A5CAD" w14:textId="77777777" w:rsidR="00DD2567" w:rsidRDefault="00680E4C">
      <w:pPr>
        <w:spacing w:line="360" w:lineRule="auto"/>
        <w:ind w:firstLineChars="200" w:firstLine="480"/>
        <w:rPr>
          <w:rFonts w:ascii="宋体" w:hAnsi="宋体"/>
          <w:bCs/>
          <w:sz w:val="24"/>
        </w:rPr>
      </w:pPr>
      <w:r>
        <w:rPr>
          <w:rFonts w:ascii="宋体" w:hAnsi="宋体"/>
          <w:bCs/>
          <w:sz w:val="24"/>
        </w:rPr>
        <w:t>1、《基金合同》是界定《基金合同》当事人的各项权利、义务关系，明确基金份额持有人大会召开的规则及具体程序，说明基金产品的特性等涉及基金投资</w:t>
      </w:r>
      <w:r>
        <w:rPr>
          <w:rFonts w:ascii="宋体" w:hAnsi="宋体"/>
          <w:bCs/>
          <w:sz w:val="24"/>
        </w:rPr>
        <w:lastRenderedPageBreak/>
        <w:t>者重大利益的事项的法律文件。</w:t>
      </w:r>
    </w:p>
    <w:p w14:paraId="3311FF49" w14:textId="77777777" w:rsidR="00DD2567" w:rsidRDefault="00680E4C">
      <w:pPr>
        <w:spacing w:line="360" w:lineRule="auto"/>
        <w:ind w:firstLineChars="200" w:firstLine="480"/>
        <w:rPr>
          <w:rFonts w:ascii="宋体" w:hAnsi="宋体"/>
          <w:bCs/>
          <w:sz w:val="24"/>
        </w:rPr>
      </w:pPr>
      <w:r>
        <w:rPr>
          <w:rFonts w:ascii="宋体" w:hAnsi="宋体"/>
          <w:bCs/>
          <w:sz w:val="24"/>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14:paraId="547B7453" w14:textId="77777777" w:rsidR="00DD2567" w:rsidRDefault="00680E4C">
      <w:pPr>
        <w:spacing w:line="360" w:lineRule="auto"/>
        <w:ind w:firstLineChars="200" w:firstLine="480"/>
        <w:rPr>
          <w:rFonts w:ascii="宋体" w:hAnsi="宋体"/>
          <w:bCs/>
          <w:sz w:val="24"/>
        </w:rPr>
      </w:pPr>
      <w:r>
        <w:rPr>
          <w:rFonts w:ascii="宋体" w:hAnsi="宋体"/>
          <w:bCs/>
          <w:sz w:val="24"/>
        </w:rPr>
        <w:t>3、基金托管协议是界定基金托管人和基金管理人在基金财产保管及基金运作监督等活动中的权利、义务关系的法律文件。</w:t>
      </w:r>
    </w:p>
    <w:p w14:paraId="1F2A8812" w14:textId="77777777" w:rsidR="00DD2567" w:rsidRDefault="00680E4C">
      <w:pPr>
        <w:spacing w:line="360" w:lineRule="auto"/>
        <w:ind w:firstLineChars="200" w:firstLine="480"/>
        <w:rPr>
          <w:rFonts w:ascii="宋体" w:hAnsi="宋体"/>
          <w:bCs/>
          <w:sz w:val="24"/>
        </w:rPr>
      </w:pPr>
      <w:r>
        <w:rPr>
          <w:rFonts w:ascii="宋体" w:hAnsi="宋体"/>
          <w:bCs/>
          <w:sz w:val="24"/>
        </w:rPr>
        <w:t>基金募集申请经中国证监会注册后，基金管理人在基金份额发售的3日前，将基金招募说明书、《基金合同》摘要登载在指定媒介上；基金管理人、基金托管人应当将《基金合同》、基金托管协议登载在网站上。</w:t>
      </w:r>
    </w:p>
    <w:p w14:paraId="3DB2CDF1" w14:textId="77777777" w:rsidR="00DD2567" w:rsidRDefault="00680E4C">
      <w:pPr>
        <w:spacing w:line="360" w:lineRule="auto"/>
        <w:ind w:firstLineChars="200" w:firstLine="480"/>
        <w:rPr>
          <w:rFonts w:ascii="宋体" w:hAnsi="宋体"/>
          <w:bCs/>
          <w:sz w:val="24"/>
        </w:rPr>
      </w:pPr>
      <w:r>
        <w:rPr>
          <w:rFonts w:ascii="宋体" w:hAnsi="宋体"/>
          <w:bCs/>
          <w:sz w:val="24"/>
        </w:rPr>
        <w:t>（二）基金份额发售公告</w:t>
      </w:r>
    </w:p>
    <w:p w14:paraId="0F936142" w14:textId="77777777" w:rsidR="00DD2567" w:rsidRDefault="00680E4C">
      <w:pPr>
        <w:spacing w:line="360" w:lineRule="auto"/>
        <w:ind w:firstLineChars="200" w:firstLine="480"/>
        <w:rPr>
          <w:rFonts w:ascii="宋体" w:hAnsi="宋体"/>
          <w:bCs/>
          <w:sz w:val="24"/>
        </w:rPr>
      </w:pPr>
      <w:r>
        <w:rPr>
          <w:rFonts w:ascii="宋体" w:hAnsi="宋体"/>
          <w:bCs/>
          <w:sz w:val="24"/>
        </w:rPr>
        <w:t>基金管理人应当就基金份额发售的具体事宜编制基金份额发售公告，并在披露招募说明书的当日登载于指定媒介上。</w:t>
      </w:r>
    </w:p>
    <w:p w14:paraId="2406D820" w14:textId="77777777" w:rsidR="00DD2567" w:rsidRDefault="00680E4C">
      <w:pPr>
        <w:spacing w:line="360" w:lineRule="auto"/>
        <w:ind w:firstLineChars="200" w:firstLine="480"/>
        <w:rPr>
          <w:rFonts w:ascii="宋体" w:hAnsi="宋体"/>
          <w:bCs/>
          <w:sz w:val="24"/>
        </w:rPr>
      </w:pPr>
      <w:r>
        <w:rPr>
          <w:rFonts w:ascii="宋体" w:hAnsi="宋体"/>
          <w:bCs/>
          <w:sz w:val="24"/>
        </w:rPr>
        <w:t>（三）《基金合同》生效公告</w:t>
      </w:r>
    </w:p>
    <w:p w14:paraId="359E117A" w14:textId="77777777" w:rsidR="00DD2567" w:rsidRDefault="00680E4C">
      <w:pPr>
        <w:spacing w:line="360" w:lineRule="auto"/>
        <w:ind w:firstLineChars="200" w:firstLine="480"/>
        <w:rPr>
          <w:rFonts w:ascii="宋体" w:hAnsi="宋体"/>
          <w:bCs/>
          <w:sz w:val="24"/>
        </w:rPr>
      </w:pPr>
      <w:r>
        <w:rPr>
          <w:rFonts w:ascii="宋体" w:hAnsi="宋体"/>
          <w:bCs/>
          <w:sz w:val="24"/>
        </w:rPr>
        <w:t>基金管理人应当在收到中国证监会确认文件的次日在指定媒介上登载《基金合同》生效公告。</w:t>
      </w:r>
    </w:p>
    <w:p w14:paraId="0C114499" w14:textId="77777777" w:rsidR="00DD2567" w:rsidRDefault="00680E4C">
      <w:pPr>
        <w:spacing w:line="360" w:lineRule="auto"/>
        <w:ind w:firstLineChars="200" w:firstLine="480"/>
        <w:rPr>
          <w:rFonts w:ascii="宋体" w:hAnsi="宋体"/>
          <w:bCs/>
          <w:sz w:val="24"/>
        </w:rPr>
      </w:pPr>
      <w:r>
        <w:rPr>
          <w:rFonts w:ascii="宋体" w:hAnsi="宋体"/>
          <w:bCs/>
          <w:sz w:val="24"/>
        </w:rPr>
        <w:t>（四）基金资产净值、基金份额净值</w:t>
      </w:r>
    </w:p>
    <w:p w14:paraId="0D815BCE" w14:textId="77777777" w:rsidR="00DD2567" w:rsidRDefault="00680E4C">
      <w:pPr>
        <w:spacing w:line="360" w:lineRule="auto"/>
        <w:ind w:firstLineChars="200" w:firstLine="480"/>
        <w:rPr>
          <w:rFonts w:ascii="宋体" w:hAnsi="宋体"/>
          <w:bCs/>
          <w:sz w:val="24"/>
        </w:rPr>
      </w:pPr>
      <w:r>
        <w:rPr>
          <w:rFonts w:ascii="宋体" w:hAnsi="宋体"/>
          <w:bCs/>
          <w:sz w:val="24"/>
        </w:rPr>
        <w:t>《基金合同》生效后，在开始办理基金份额申购或者赎回前，基金管理人应当至少每周公告一次基金资产净值和基金份额净值。</w:t>
      </w:r>
    </w:p>
    <w:p w14:paraId="36ABA67C" w14:textId="77777777" w:rsidR="00DD2567" w:rsidRDefault="00680E4C">
      <w:pPr>
        <w:spacing w:line="360" w:lineRule="auto"/>
        <w:ind w:firstLineChars="200" w:firstLine="480"/>
        <w:rPr>
          <w:rFonts w:ascii="宋体" w:hAnsi="宋体"/>
          <w:bCs/>
          <w:sz w:val="24"/>
        </w:rPr>
      </w:pPr>
      <w:r>
        <w:rPr>
          <w:rFonts w:ascii="宋体" w:hAnsi="宋体"/>
          <w:bCs/>
          <w:sz w:val="24"/>
        </w:rPr>
        <w:t>在开始办理基金份额申购或者赎回后，基金管理人应当在每个开放日的次日，通过网站、基金份额发售网点以及其他媒介，披露开放日的基金份额净值和基金份额累计净值。</w:t>
      </w:r>
    </w:p>
    <w:p w14:paraId="721EA2CF" w14:textId="77777777" w:rsidR="00DD2567" w:rsidRDefault="00680E4C">
      <w:pPr>
        <w:spacing w:line="360" w:lineRule="auto"/>
        <w:ind w:firstLineChars="200" w:firstLine="480"/>
        <w:rPr>
          <w:rFonts w:ascii="宋体" w:hAnsi="宋体"/>
          <w:bCs/>
          <w:sz w:val="24"/>
        </w:rPr>
      </w:pPr>
      <w:r>
        <w:rPr>
          <w:rFonts w:ascii="宋体" w:hAnsi="宋体"/>
          <w:bCs/>
          <w:sz w:val="24"/>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1C58CF25" w14:textId="77777777" w:rsidR="00DD2567" w:rsidRDefault="00680E4C">
      <w:pPr>
        <w:spacing w:line="360" w:lineRule="auto"/>
        <w:ind w:firstLineChars="200" w:firstLine="480"/>
        <w:rPr>
          <w:rFonts w:ascii="宋体" w:hAnsi="宋体"/>
          <w:bCs/>
          <w:sz w:val="24"/>
        </w:rPr>
      </w:pPr>
      <w:r>
        <w:rPr>
          <w:rFonts w:ascii="宋体" w:hAnsi="宋体"/>
          <w:bCs/>
          <w:sz w:val="24"/>
        </w:rPr>
        <w:t>（五）基金份额申购、赎回价格</w:t>
      </w:r>
    </w:p>
    <w:p w14:paraId="160F804E" w14:textId="77777777" w:rsidR="00DD2567" w:rsidRDefault="00680E4C">
      <w:pPr>
        <w:spacing w:line="360" w:lineRule="auto"/>
        <w:ind w:firstLineChars="200" w:firstLine="480"/>
        <w:rPr>
          <w:rFonts w:ascii="宋体" w:hAnsi="宋体"/>
          <w:bCs/>
          <w:sz w:val="24"/>
        </w:rPr>
      </w:pPr>
      <w:r>
        <w:rPr>
          <w:rFonts w:ascii="宋体" w:hAnsi="宋体"/>
          <w:bCs/>
          <w:sz w:val="24"/>
        </w:rPr>
        <w:t>基金管理人应当在《基金合同》、招募说明书等信息披露文件上载明基金份</w:t>
      </w:r>
      <w:r>
        <w:rPr>
          <w:rFonts w:ascii="宋体" w:hAnsi="宋体"/>
          <w:bCs/>
          <w:sz w:val="24"/>
        </w:rPr>
        <w:lastRenderedPageBreak/>
        <w:t>额申购、赎回价格的计算方式及有关申购、赎回费率，并保证投资者能够在基金份额发售网点查阅或者复制前述信息资料。</w:t>
      </w:r>
    </w:p>
    <w:p w14:paraId="6BB9FD36" w14:textId="77777777" w:rsidR="00DD2567" w:rsidRDefault="00680E4C">
      <w:pPr>
        <w:spacing w:line="360" w:lineRule="auto"/>
        <w:ind w:firstLineChars="200" w:firstLine="480"/>
        <w:rPr>
          <w:rFonts w:ascii="宋体" w:hAnsi="宋体"/>
          <w:bCs/>
          <w:sz w:val="24"/>
        </w:rPr>
      </w:pPr>
      <w:r>
        <w:rPr>
          <w:rFonts w:ascii="宋体" w:hAnsi="宋体"/>
          <w:bCs/>
          <w:sz w:val="24"/>
        </w:rPr>
        <w:t>（六）基金定期报告，包括基金年度报告、基金半年度报告和基金季度报告</w:t>
      </w:r>
    </w:p>
    <w:p w14:paraId="5933E864" w14:textId="77777777" w:rsidR="00DD2567" w:rsidRDefault="00680E4C">
      <w:pPr>
        <w:spacing w:line="360" w:lineRule="auto"/>
        <w:ind w:firstLineChars="200" w:firstLine="480"/>
        <w:rPr>
          <w:rFonts w:ascii="宋体" w:hAnsi="宋体"/>
          <w:bCs/>
          <w:sz w:val="24"/>
        </w:rPr>
      </w:pPr>
      <w:r>
        <w:rPr>
          <w:rFonts w:ascii="宋体" w:hAnsi="宋体"/>
          <w:bCs/>
          <w:sz w:val="24"/>
        </w:rPr>
        <w:t>基金管理人应当在每年结束之日起90日内，编制完成基金年度报告，并将年度报告正文登载于网站上，将年度报告摘要登载在指定媒介上。基金年度报告的财务会计报告应当经过审计。</w:t>
      </w:r>
    </w:p>
    <w:p w14:paraId="37673432" w14:textId="77777777" w:rsidR="00DD2567" w:rsidRDefault="00680E4C">
      <w:pPr>
        <w:spacing w:line="360" w:lineRule="auto"/>
        <w:ind w:firstLineChars="200" w:firstLine="480"/>
        <w:rPr>
          <w:rFonts w:ascii="宋体" w:hAnsi="宋体"/>
          <w:bCs/>
          <w:sz w:val="24"/>
        </w:rPr>
      </w:pPr>
      <w:r>
        <w:rPr>
          <w:rFonts w:ascii="宋体" w:hAnsi="宋体"/>
          <w:bCs/>
          <w:sz w:val="24"/>
        </w:rPr>
        <w:t>基金管理人应当在上半年结束之日起60日内，编制完成基金半年度报告，并将半年度报告正文登载在网站上，将半年度报告摘要登载在指定媒介上。</w:t>
      </w:r>
    </w:p>
    <w:p w14:paraId="0D4A4346" w14:textId="77777777" w:rsidR="00DD2567" w:rsidRDefault="00680E4C">
      <w:pPr>
        <w:spacing w:line="360" w:lineRule="auto"/>
        <w:ind w:firstLineChars="200" w:firstLine="480"/>
        <w:rPr>
          <w:rFonts w:ascii="宋体" w:hAnsi="宋体"/>
          <w:bCs/>
          <w:sz w:val="24"/>
        </w:rPr>
      </w:pPr>
      <w:r>
        <w:rPr>
          <w:rFonts w:ascii="宋体" w:hAnsi="宋体"/>
          <w:bCs/>
          <w:sz w:val="24"/>
        </w:rPr>
        <w:t>基金管理人应当在每个季度结束之日起15个工作日内，编制完成基金季度报告，并将季度报告登载在指定媒介上。</w:t>
      </w:r>
    </w:p>
    <w:p w14:paraId="7503977D" w14:textId="77777777" w:rsidR="00DD2567" w:rsidRDefault="00680E4C">
      <w:pPr>
        <w:spacing w:line="360" w:lineRule="auto"/>
        <w:ind w:firstLineChars="200" w:firstLine="480"/>
        <w:rPr>
          <w:rFonts w:ascii="宋体" w:hAnsi="宋体"/>
          <w:bCs/>
          <w:sz w:val="24"/>
        </w:rPr>
      </w:pPr>
      <w:r>
        <w:rPr>
          <w:rFonts w:ascii="宋体" w:hAnsi="宋体"/>
          <w:bCs/>
          <w:sz w:val="24"/>
        </w:rPr>
        <w:t>《基金合同》生效不足2个月的，基金管理人可以不编制当期季度报告、半年度报告或者年度报告。</w:t>
      </w:r>
    </w:p>
    <w:p w14:paraId="25D7860E" w14:textId="77777777" w:rsidR="00DD2567" w:rsidRDefault="00680E4C">
      <w:pPr>
        <w:spacing w:line="360" w:lineRule="auto"/>
        <w:ind w:firstLineChars="200" w:firstLine="480"/>
        <w:rPr>
          <w:rFonts w:ascii="宋体" w:hAnsi="宋体"/>
          <w:bCs/>
          <w:sz w:val="24"/>
        </w:rPr>
      </w:pPr>
      <w:r>
        <w:rPr>
          <w:rFonts w:ascii="宋体" w:hAnsi="宋体"/>
          <w:bCs/>
          <w:sz w:val="24"/>
        </w:rPr>
        <w:t>基金定期报告在公开披露的第2个工作日，分别报中国证监会和基金管理人主要办公场所所在地中国证监会派出机构备案。报备应当采用电子文本</w:t>
      </w:r>
      <w:r>
        <w:rPr>
          <w:rFonts w:ascii="宋体" w:hAnsi="宋体" w:hint="eastAsia"/>
          <w:bCs/>
          <w:sz w:val="24"/>
        </w:rPr>
        <w:t>或</w:t>
      </w:r>
      <w:r>
        <w:rPr>
          <w:rFonts w:ascii="宋体" w:hAnsi="宋体"/>
          <w:bCs/>
          <w:sz w:val="24"/>
        </w:rPr>
        <w:t>书面报告方式。</w:t>
      </w:r>
    </w:p>
    <w:p w14:paraId="583E9370" w14:textId="77777777" w:rsidR="00DD2567" w:rsidRDefault="00680E4C">
      <w:pPr>
        <w:spacing w:line="360" w:lineRule="auto"/>
        <w:ind w:firstLineChars="200" w:firstLine="480"/>
        <w:rPr>
          <w:rFonts w:ascii="宋体" w:hAnsi="宋体"/>
          <w:bCs/>
          <w:sz w:val="24"/>
        </w:rPr>
      </w:pPr>
      <w:r>
        <w:rPr>
          <w:rFonts w:ascii="宋体" w:hAnsi="宋体"/>
          <w:bCs/>
          <w:sz w:val="24"/>
        </w:rPr>
        <w:t>（七）临时报告</w:t>
      </w:r>
    </w:p>
    <w:p w14:paraId="73AB0D0C" w14:textId="77777777" w:rsidR="00DD2567" w:rsidRDefault="00680E4C">
      <w:pPr>
        <w:spacing w:line="360" w:lineRule="auto"/>
        <w:ind w:firstLineChars="200" w:firstLine="480"/>
        <w:rPr>
          <w:rFonts w:ascii="宋体" w:hAnsi="宋体"/>
          <w:bCs/>
          <w:sz w:val="24"/>
        </w:rPr>
      </w:pPr>
      <w:r>
        <w:rPr>
          <w:rFonts w:ascii="宋体" w:hAnsi="宋体"/>
          <w:bCs/>
          <w:sz w:val="24"/>
        </w:rPr>
        <w:t>本基金发生重大事件，有关信息披露义务人应当在2日内编制临时报告书，予以公告，并在公开披露日分别报中国证监会和基金管理人主要办公场所所在地的中国证监会派出机构备案。</w:t>
      </w:r>
    </w:p>
    <w:p w14:paraId="04206BA4" w14:textId="77777777" w:rsidR="00DD2567" w:rsidRDefault="00680E4C">
      <w:pPr>
        <w:spacing w:line="360" w:lineRule="auto"/>
        <w:ind w:firstLineChars="200" w:firstLine="480"/>
        <w:rPr>
          <w:rFonts w:ascii="宋体" w:hAnsi="宋体"/>
          <w:bCs/>
          <w:sz w:val="24"/>
        </w:rPr>
      </w:pPr>
      <w:r>
        <w:rPr>
          <w:rFonts w:ascii="宋体" w:hAnsi="宋体"/>
          <w:bCs/>
          <w:sz w:val="24"/>
        </w:rPr>
        <w:t>前款所称重大事件，是指可能对基金份额持有人权益或者基金份额的价格产生重大影响的下列事件：</w:t>
      </w:r>
    </w:p>
    <w:p w14:paraId="6ACE23CE" w14:textId="77777777" w:rsidR="00DD2567" w:rsidRDefault="00680E4C">
      <w:pPr>
        <w:spacing w:line="360" w:lineRule="auto"/>
        <w:ind w:firstLineChars="200" w:firstLine="480"/>
        <w:rPr>
          <w:rFonts w:ascii="宋体" w:hAnsi="宋体"/>
          <w:bCs/>
          <w:sz w:val="24"/>
        </w:rPr>
      </w:pPr>
      <w:r>
        <w:rPr>
          <w:rFonts w:ascii="宋体" w:hAnsi="宋体"/>
          <w:bCs/>
          <w:sz w:val="24"/>
        </w:rPr>
        <w:t>1、基金份额持有人大会的召开；</w:t>
      </w:r>
    </w:p>
    <w:p w14:paraId="01407CA4" w14:textId="77777777" w:rsidR="00DD2567" w:rsidRDefault="00680E4C">
      <w:pPr>
        <w:spacing w:line="360" w:lineRule="auto"/>
        <w:ind w:firstLineChars="200" w:firstLine="480"/>
        <w:rPr>
          <w:rFonts w:ascii="宋体" w:hAnsi="宋体"/>
          <w:bCs/>
          <w:sz w:val="24"/>
        </w:rPr>
      </w:pPr>
      <w:r>
        <w:rPr>
          <w:rFonts w:ascii="宋体" w:hAnsi="宋体"/>
          <w:bCs/>
          <w:sz w:val="24"/>
        </w:rPr>
        <w:t>2、终止《基金合同》；</w:t>
      </w:r>
    </w:p>
    <w:p w14:paraId="21FA5B26" w14:textId="77777777" w:rsidR="00DD2567" w:rsidRDefault="00680E4C">
      <w:pPr>
        <w:spacing w:line="360" w:lineRule="auto"/>
        <w:ind w:firstLineChars="200" w:firstLine="480"/>
        <w:rPr>
          <w:rFonts w:ascii="宋体" w:hAnsi="宋体"/>
          <w:bCs/>
          <w:sz w:val="24"/>
        </w:rPr>
      </w:pPr>
      <w:r>
        <w:rPr>
          <w:rFonts w:ascii="宋体" w:hAnsi="宋体"/>
          <w:bCs/>
          <w:sz w:val="24"/>
        </w:rPr>
        <w:t>3、转换基金运作方式；</w:t>
      </w:r>
    </w:p>
    <w:p w14:paraId="1C8783CB" w14:textId="77777777" w:rsidR="00DD2567" w:rsidRDefault="00680E4C">
      <w:pPr>
        <w:spacing w:line="360" w:lineRule="auto"/>
        <w:ind w:firstLineChars="200" w:firstLine="480"/>
        <w:rPr>
          <w:rFonts w:ascii="宋体" w:hAnsi="宋体"/>
          <w:bCs/>
          <w:sz w:val="24"/>
        </w:rPr>
      </w:pPr>
      <w:r>
        <w:rPr>
          <w:rFonts w:ascii="宋体" w:hAnsi="宋体"/>
          <w:bCs/>
          <w:sz w:val="24"/>
        </w:rPr>
        <w:t>4、更换基金管理人、基金托管人；</w:t>
      </w:r>
    </w:p>
    <w:p w14:paraId="15D7D090" w14:textId="77777777" w:rsidR="00DD2567" w:rsidRDefault="00680E4C">
      <w:pPr>
        <w:spacing w:line="360" w:lineRule="auto"/>
        <w:ind w:firstLineChars="200" w:firstLine="480"/>
        <w:rPr>
          <w:rFonts w:ascii="宋体" w:hAnsi="宋体"/>
          <w:bCs/>
          <w:sz w:val="24"/>
        </w:rPr>
      </w:pPr>
      <w:r>
        <w:rPr>
          <w:rFonts w:ascii="宋体" w:hAnsi="宋体"/>
          <w:bCs/>
          <w:sz w:val="24"/>
        </w:rPr>
        <w:t>5、基金管理人、基金托管人的法定名称、住所发生变更；</w:t>
      </w:r>
    </w:p>
    <w:p w14:paraId="1368DCED" w14:textId="77777777" w:rsidR="00DD2567" w:rsidRDefault="00680E4C">
      <w:pPr>
        <w:spacing w:line="360" w:lineRule="auto"/>
        <w:ind w:firstLineChars="200" w:firstLine="480"/>
        <w:rPr>
          <w:rFonts w:ascii="宋体" w:hAnsi="宋体"/>
          <w:bCs/>
          <w:sz w:val="24"/>
        </w:rPr>
      </w:pPr>
      <w:r>
        <w:rPr>
          <w:rFonts w:ascii="宋体" w:hAnsi="宋体"/>
          <w:bCs/>
          <w:sz w:val="24"/>
        </w:rPr>
        <w:t>6、基金管理人股东及其出资比例发生变更；</w:t>
      </w:r>
    </w:p>
    <w:p w14:paraId="38F01932" w14:textId="77777777" w:rsidR="00DD2567" w:rsidRDefault="00680E4C">
      <w:pPr>
        <w:spacing w:line="360" w:lineRule="auto"/>
        <w:ind w:firstLineChars="200" w:firstLine="480"/>
        <w:rPr>
          <w:rFonts w:ascii="宋体" w:hAnsi="宋体"/>
          <w:bCs/>
          <w:sz w:val="24"/>
        </w:rPr>
      </w:pPr>
      <w:r>
        <w:rPr>
          <w:rFonts w:ascii="宋体" w:hAnsi="宋体"/>
          <w:bCs/>
          <w:sz w:val="24"/>
        </w:rPr>
        <w:t>7、基金募集期延长；</w:t>
      </w:r>
    </w:p>
    <w:p w14:paraId="6E0371FC" w14:textId="77777777" w:rsidR="00DD2567" w:rsidRDefault="00680E4C">
      <w:pPr>
        <w:spacing w:line="360" w:lineRule="auto"/>
        <w:ind w:firstLineChars="200" w:firstLine="480"/>
        <w:rPr>
          <w:rFonts w:ascii="宋体" w:hAnsi="宋体"/>
          <w:bCs/>
          <w:sz w:val="24"/>
        </w:rPr>
      </w:pPr>
      <w:r>
        <w:rPr>
          <w:rFonts w:ascii="宋体" w:hAnsi="宋体"/>
          <w:bCs/>
          <w:sz w:val="24"/>
        </w:rPr>
        <w:t>8、基金管理人的董事长、总经理及其他高级管理人员、基金经理和基金托</w:t>
      </w:r>
      <w:r>
        <w:rPr>
          <w:rFonts w:ascii="宋体" w:hAnsi="宋体"/>
          <w:bCs/>
          <w:sz w:val="24"/>
        </w:rPr>
        <w:lastRenderedPageBreak/>
        <w:t>管人基金托管部门负责人发生变动；</w:t>
      </w:r>
    </w:p>
    <w:p w14:paraId="1538B867" w14:textId="77777777" w:rsidR="00DD2567" w:rsidRDefault="00680E4C">
      <w:pPr>
        <w:spacing w:line="360" w:lineRule="auto"/>
        <w:ind w:firstLineChars="200" w:firstLine="480"/>
        <w:rPr>
          <w:rFonts w:ascii="宋体" w:hAnsi="宋体"/>
          <w:bCs/>
          <w:sz w:val="24"/>
        </w:rPr>
      </w:pPr>
      <w:r>
        <w:rPr>
          <w:rFonts w:ascii="宋体" w:hAnsi="宋体"/>
          <w:bCs/>
          <w:sz w:val="24"/>
        </w:rPr>
        <w:t>9、基金管理人的董事在一年内变更超过百分之五十；</w:t>
      </w:r>
    </w:p>
    <w:p w14:paraId="3C06F19A" w14:textId="77777777" w:rsidR="00DD2567" w:rsidRDefault="00680E4C">
      <w:pPr>
        <w:spacing w:line="360" w:lineRule="auto"/>
        <w:ind w:firstLineChars="200" w:firstLine="480"/>
        <w:rPr>
          <w:rFonts w:ascii="宋体" w:hAnsi="宋体"/>
          <w:bCs/>
          <w:sz w:val="24"/>
        </w:rPr>
      </w:pPr>
      <w:r>
        <w:rPr>
          <w:rFonts w:ascii="宋体" w:hAnsi="宋体"/>
          <w:bCs/>
          <w:sz w:val="24"/>
        </w:rPr>
        <w:t>10、基金管理人、基金托管人基金托管部门的主要业务人员在一年内变动超过百分之三十；</w:t>
      </w:r>
    </w:p>
    <w:p w14:paraId="716F84E6" w14:textId="77777777" w:rsidR="00DD2567" w:rsidRDefault="00680E4C">
      <w:pPr>
        <w:spacing w:line="360" w:lineRule="auto"/>
        <w:ind w:firstLineChars="200" w:firstLine="480"/>
        <w:rPr>
          <w:rFonts w:ascii="宋体" w:hAnsi="宋体"/>
          <w:bCs/>
          <w:sz w:val="24"/>
        </w:rPr>
      </w:pPr>
      <w:r>
        <w:rPr>
          <w:rFonts w:ascii="宋体" w:hAnsi="宋体"/>
          <w:bCs/>
          <w:sz w:val="24"/>
        </w:rPr>
        <w:t>11、涉及基金管理</w:t>
      </w:r>
      <w:r>
        <w:rPr>
          <w:rFonts w:ascii="宋体" w:hAnsi="宋体" w:hint="eastAsia"/>
          <w:bCs/>
          <w:sz w:val="24"/>
        </w:rPr>
        <w:t>业务</w:t>
      </w:r>
      <w:r>
        <w:rPr>
          <w:rFonts w:ascii="宋体" w:hAnsi="宋体"/>
          <w:bCs/>
          <w:sz w:val="24"/>
        </w:rPr>
        <w:t>、基金财产、基金托管业务的诉讼</w:t>
      </w:r>
      <w:r>
        <w:rPr>
          <w:rFonts w:ascii="宋体" w:hAnsi="宋体" w:hint="eastAsia"/>
          <w:bCs/>
          <w:sz w:val="24"/>
        </w:rPr>
        <w:t>或仲裁</w:t>
      </w:r>
      <w:r>
        <w:rPr>
          <w:rFonts w:ascii="宋体" w:hAnsi="宋体"/>
          <w:bCs/>
          <w:sz w:val="24"/>
        </w:rPr>
        <w:t>；</w:t>
      </w:r>
    </w:p>
    <w:p w14:paraId="5E4A513B" w14:textId="77777777" w:rsidR="00DD2567" w:rsidRDefault="00680E4C">
      <w:pPr>
        <w:spacing w:line="360" w:lineRule="auto"/>
        <w:ind w:firstLineChars="200" w:firstLine="480"/>
        <w:rPr>
          <w:rFonts w:ascii="宋体" w:hAnsi="宋体"/>
          <w:bCs/>
          <w:sz w:val="24"/>
        </w:rPr>
      </w:pPr>
      <w:r>
        <w:rPr>
          <w:rFonts w:ascii="宋体" w:hAnsi="宋体"/>
          <w:bCs/>
          <w:sz w:val="24"/>
        </w:rPr>
        <w:t>12、基金管理</w:t>
      </w:r>
      <w:r>
        <w:rPr>
          <w:rFonts w:ascii="宋体" w:hAnsi="宋体" w:hint="eastAsia"/>
          <w:bCs/>
          <w:sz w:val="24"/>
        </w:rPr>
        <w:t>人</w:t>
      </w:r>
      <w:r>
        <w:rPr>
          <w:rFonts w:ascii="宋体" w:hAnsi="宋体"/>
          <w:bCs/>
          <w:sz w:val="24"/>
        </w:rPr>
        <w:t>、基金托管人受到监管部门的调查；</w:t>
      </w:r>
    </w:p>
    <w:p w14:paraId="641B3101" w14:textId="77777777" w:rsidR="00DD2567" w:rsidRDefault="00680E4C">
      <w:pPr>
        <w:spacing w:line="360" w:lineRule="auto"/>
        <w:ind w:firstLineChars="200" w:firstLine="480"/>
        <w:rPr>
          <w:rFonts w:ascii="宋体" w:hAnsi="宋体"/>
          <w:bCs/>
          <w:sz w:val="24"/>
        </w:rPr>
      </w:pPr>
      <w:r>
        <w:rPr>
          <w:rFonts w:ascii="宋体" w:hAnsi="宋体"/>
          <w:bCs/>
          <w:sz w:val="24"/>
        </w:rPr>
        <w:t>13、基金管理人及其董事、总经理及其他高级管理人员、基金经理受到严重行政处罚，基金托管人及其基金托管部门负责人受到严重行政处罚；</w:t>
      </w:r>
    </w:p>
    <w:p w14:paraId="0233D4C6" w14:textId="77777777" w:rsidR="00DD2567" w:rsidRDefault="00680E4C">
      <w:pPr>
        <w:spacing w:line="360" w:lineRule="auto"/>
        <w:ind w:firstLineChars="200" w:firstLine="480"/>
        <w:rPr>
          <w:rFonts w:ascii="宋体" w:hAnsi="宋体"/>
          <w:bCs/>
          <w:sz w:val="24"/>
        </w:rPr>
      </w:pPr>
      <w:r>
        <w:rPr>
          <w:rFonts w:ascii="宋体" w:hAnsi="宋体"/>
          <w:bCs/>
          <w:sz w:val="24"/>
        </w:rPr>
        <w:t>14、重大关联交易事项；</w:t>
      </w:r>
    </w:p>
    <w:p w14:paraId="19766881" w14:textId="77777777" w:rsidR="00DD2567" w:rsidRDefault="00680E4C">
      <w:pPr>
        <w:spacing w:line="360" w:lineRule="auto"/>
        <w:ind w:firstLineChars="200" w:firstLine="480"/>
        <w:rPr>
          <w:rFonts w:ascii="宋体" w:hAnsi="宋体"/>
          <w:bCs/>
          <w:sz w:val="24"/>
        </w:rPr>
      </w:pPr>
      <w:r>
        <w:rPr>
          <w:rFonts w:ascii="宋体" w:hAnsi="宋体"/>
          <w:bCs/>
          <w:sz w:val="24"/>
        </w:rPr>
        <w:t>15、基金收益分配事项；</w:t>
      </w:r>
    </w:p>
    <w:p w14:paraId="6E93D5A9" w14:textId="77777777" w:rsidR="00DD2567" w:rsidRDefault="00680E4C">
      <w:pPr>
        <w:spacing w:line="360" w:lineRule="auto"/>
        <w:ind w:firstLineChars="200" w:firstLine="480"/>
        <w:rPr>
          <w:rFonts w:ascii="宋体" w:hAnsi="宋体"/>
          <w:bCs/>
          <w:sz w:val="24"/>
        </w:rPr>
      </w:pPr>
      <w:r>
        <w:rPr>
          <w:rFonts w:ascii="宋体" w:hAnsi="宋体"/>
          <w:bCs/>
          <w:sz w:val="24"/>
        </w:rPr>
        <w:t>16、管理费、托管费等费用计提标准、计提方式和费率发生变更；</w:t>
      </w:r>
    </w:p>
    <w:p w14:paraId="38789919" w14:textId="77777777" w:rsidR="00DD2567" w:rsidRDefault="00680E4C">
      <w:pPr>
        <w:spacing w:line="360" w:lineRule="auto"/>
        <w:ind w:firstLineChars="200" w:firstLine="480"/>
        <w:rPr>
          <w:rFonts w:ascii="宋体" w:hAnsi="宋体"/>
          <w:bCs/>
          <w:sz w:val="24"/>
        </w:rPr>
      </w:pPr>
      <w:r>
        <w:rPr>
          <w:rFonts w:ascii="宋体" w:hAnsi="宋体"/>
          <w:bCs/>
          <w:sz w:val="24"/>
        </w:rPr>
        <w:t>17、基金份额净值</w:t>
      </w:r>
      <w:r>
        <w:rPr>
          <w:rFonts w:ascii="宋体" w:hAnsi="宋体" w:hint="eastAsia"/>
          <w:bCs/>
          <w:sz w:val="24"/>
        </w:rPr>
        <w:t>估值</w:t>
      </w:r>
      <w:r>
        <w:rPr>
          <w:rFonts w:ascii="宋体" w:hAnsi="宋体"/>
          <w:bCs/>
          <w:sz w:val="24"/>
        </w:rPr>
        <w:t>错误达基金份额净值百分之零点五；</w:t>
      </w:r>
    </w:p>
    <w:p w14:paraId="059632B8" w14:textId="77777777" w:rsidR="00DD2567" w:rsidRDefault="00680E4C">
      <w:pPr>
        <w:spacing w:line="360" w:lineRule="auto"/>
        <w:ind w:firstLineChars="200" w:firstLine="480"/>
        <w:rPr>
          <w:rFonts w:ascii="宋体" w:hAnsi="宋体"/>
          <w:bCs/>
          <w:sz w:val="24"/>
        </w:rPr>
      </w:pPr>
      <w:r>
        <w:rPr>
          <w:rFonts w:ascii="宋体" w:hAnsi="宋体"/>
          <w:bCs/>
          <w:sz w:val="24"/>
        </w:rPr>
        <w:t>18、基金改聘会计师事务所；</w:t>
      </w:r>
    </w:p>
    <w:p w14:paraId="6E248020" w14:textId="77777777" w:rsidR="00DD2567" w:rsidRDefault="00680E4C">
      <w:pPr>
        <w:spacing w:line="360" w:lineRule="auto"/>
        <w:ind w:firstLineChars="200" w:firstLine="480"/>
        <w:rPr>
          <w:rFonts w:ascii="宋体" w:hAnsi="宋体"/>
          <w:bCs/>
          <w:sz w:val="24"/>
        </w:rPr>
      </w:pPr>
      <w:r>
        <w:rPr>
          <w:rFonts w:ascii="宋体" w:hAnsi="宋体"/>
          <w:bCs/>
          <w:sz w:val="24"/>
        </w:rPr>
        <w:t>19、变更基金销售机构；</w:t>
      </w:r>
    </w:p>
    <w:p w14:paraId="0954502D" w14:textId="77777777" w:rsidR="00DD2567" w:rsidRDefault="00680E4C">
      <w:pPr>
        <w:spacing w:line="360" w:lineRule="auto"/>
        <w:ind w:firstLineChars="200" w:firstLine="480"/>
        <w:rPr>
          <w:rFonts w:ascii="宋体" w:hAnsi="宋体"/>
          <w:bCs/>
          <w:sz w:val="24"/>
        </w:rPr>
      </w:pPr>
      <w:r>
        <w:rPr>
          <w:rFonts w:ascii="宋体" w:hAnsi="宋体"/>
          <w:bCs/>
          <w:sz w:val="24"/>
        </w:rPr>
        <w:t>20、更换基金登记机构；</w:t>
      </w:r>
    </w:p>
    <w:p w14:paraId="02948E44" w14:textId="77777777" w:rsidR="00DD2567" w:rsidRDefault="00680E4C">
      <w:pPr>
        <w:spacing w:line="360" w:lineRule="auto"/>
        <w:ind w:firstLineChars="200" w:firstLine="480"/>
        <w:rPr>
          <w:rFonts w:ascii="宋体" w:hAnsi="宋体"/>
          <w:bCs/>
          <w:sz w:val="24"/>
        </w:rPr>
      </w:pPr>
      <w:r>
        <w:rPr>
          <w:rFonts w:ascii="宋体" w:hAnsi="宋体"/>
          <w:bCs/>
          <w:sz w:val="24"/>
        </w:rPr>
        <w:t>21、本基金开始办理申购、赎回；</w:t>
      </w:r>
    </w:p>
    <w:p w14:paraId="182277DC" w14:textId="77777777" w:rsidR="00DD2567" w:rsidRDefault="00680E4C">
      <w:pPr>
        <w:spacing w:line="360" w:lineRule="auto"/>
        <w:ind w:firstLineChars="200" w:firstLine="480"/>
        <w:rPr>
          <w:rFonts w:ascii="宋体" w:hAnsi="宋体"/>
          <w:bCs/>
          <w:sz w:val="24"/>
        </w:rPr>
      </w:pPr>
      <w:r>
        <w:rPr>
          <w:rFonts w:ascii="宋体" w:hAnsi="宋体"/>
          <w:bCs/>
          <w:sz w:val="24"/>
        </w:rPr>
        <w:t>22、本基金申购、赎回费率及其收费方式发生变更；</w:t>
      </w:r>
    </w:p>
    <w:p w14:paraId="7D5CEC64" w14:textId="77777777" w:rsidR="00DD2567" w:rsidRDefault="00680E4C">
      <w:pPr>
        <w:spacing w:line="360" w:lineRule="auto"/>
        <w:ind w:firstLineChars="200" w:firstLine="480"/>
        <w:rPr>
          <w:rFonts w:ascii="宋体" w:hAnsi="宋体"/>
          <w:bCs/>
          <w:sz w:val="24"/>
        </w:rPr>
      </w:pPr>
      <w:r>
        <w:rPr>
          <w:rFonts w:ascii="宋体" w:hAnsi="宋体"/>
          <w:bCs/>
          <w:sz w:val="24"/>
        </w:rPr>
        <w:t>23、本基金发生巨额赎回并延期</w:t>
      </w:r>
      <w:r>
        <w:rPr>
          <w:rFonts w:ascii="宋体" w:hAnsi="宋体" w:hint="eastAsia"/>
          <w:bCs/>
          <w:sz w:val="24"/>
        </w:rPr>
        <w:t>办理</w:t>
      </w:r>
      <w:r>
        <w:rPr>
          <w:rFonts w:ascii="宋体" w:hAnsi="宋体"/>
          <w:bCs/>
          <w:sz w:val="24"/>
        </w:rPr>
        <w:t>；</w:t>
      </w:r>
    </w:p>
    <w:p w14:paraId="70E5B561" w14:textId="77777777" w:rsidR="00DD2567" w:rsidRDefault="00680E4C">
      <w:pPr>
        <w:spacing w:line="360" w:lineRule="auto"/>
        <w:ind w:firstLineChars="200" w:firstLine="480"/>
        <w:rPr>
          <w:rFonts w:ascii="宋体" w:hAnsi="宋体"/>
          <w:bCs/>
          <w:sz w:val="24"/>
        </w:rPr>
      </w:pPr>
      <w:r>
        <w:rPr>
          <w:rFonts w:ascii="宋体" w:hAnsi="宋体"/>
          <w:bCs/>
          <w:sz w:val="24"/>
        </w:rPr>
        <w:t>24、本基金连续发生巨额赎回并暂停接受赎回申请；</w:t>
      </w:r>
    </w:p>
    <w:p w14:paraId="376C5096" w14:textId="77777777" w:rsidR="00DD2567" w:rsidRDefault="00680E4C">
      <w:pPr>
        <w:spacing w:line="360" w:lineRule="auto"/>
        <w:ind w:firstLineChars="200" w:firstLine="480"/>
        <w:rPr>
          <w:rFonts w:ascii="宋体" w:hAnsi="宋体"/>
          <w:bCs/>
          <w:sz w:val="24"/>
        </w:rPr>
      </w:pPr>
      <w:r>
        <w:rPr>
          <w:rFonts w:ascii="宋体" w:hAnsi="宋体"/>
          <w:bCs/>
          <w:sz w:val="24"/>
        </w:rPr>
        <w:t>25、本基金暂停接受申购、赎回申请后重新接受申购、赎回；</w:t>
      </w:r>
    </w:p>
    <w:p w14:paraId="515C5831" w14:textId="77777777" w:rsidR="00DD2567" w:rsidRDefault="00680E4C">
      <w:pPr>
        <w:spacing w:line="360" w:lineRule="auto"/>
        <w:ind w:firstLineChars="200" w:firstLine="480"/>
        <w:rPr>
          <w:rFonts w:ascii="宋体" w:hAnsi="宋体"/>
          <w:bCs/>
          <w:sz w:val="24"/>
        </w:rPr>
      </w:pPr>
      <w:r>
        <w:rPr>
          <w:rFonts w:ascii="宋体" w:hAnsi="宋体"/>
          <w:bCs/>
          <w:sz w:val="24"/>
        </w:rPr>
        <w:t>2</w:t>
      </w:r>
      <w:r>
        <w:rPr>
          <w:rFonts w:ascii="宋体" w:hAnsi="宋体" w:hint="eastAsia"/>
          <w:bCs/>
          <w:sz w:val="24"/>
        </w:rPr>
        <w:t>6</w:t>
      </w:r>
      <w:r>
        <w:rPr>
          <w:rFonts w:ascii="宋体" w:hAnsi="宋体"/>
          <w:bCs/>
          <w:sz w:val="24"/>
        </w:rPr>
        <w:t>、中国证监会规定的其他事项。</w:t>
      </w:r>
    </w:p>
    <w:p w14:paraId="5EB03780" w14:textId="77777777" w:rsidR="00DD2567" w:rsidRDefault="00680E4C">
      <w:pPr>
        <w:spacing w:line="360" w:lineRule="auto"/>
        <w:ind w:firstLineChars="200" w:firstLine="480"/>
        <w:rPr>
          <w:rFonts w:ascii="宋体" w:hAnsi="宋体"/>
          <w:bCs/>
          <w:sz w:val="24"/>
        </w:rPr>
      </w:pPr>
      <w:r>
        <w:rPr>
          <w:rFonts w:ascii="宋体" w:hAnsi="宋体"/>
          <w:bCs/>
          <w:sz w:val="24"/>
        </w:rPr>
        <w:t>（八）澄清公告</w:t>
      </w:r>
    </w:p>
    <w:p w14:paraId="294E1254" w14:textId="77777777" w:rsidR="00DD2567" w:rsidRDefault="00680E4C">
      <w:pPr>
        <w:spacing w:line="360" w:lineRule="auto"/>
        <w:ind w:firstLineChars="200" w:firstLine="480"/>
        <w:rPr>
          <w:rFonts w:ascii="宋体" w:hAnsi="宋体"/>
          <w:bCs/>
          <w:sz w:val="24"/>
        </w:rPr>
      </w:pPr>
      <w:r>
        <w:rPr>
          <w:rFonts w:ascii="宋体" w:hAnsi="宋体"/>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3321D86A" w14:textId="77777777" w:rsidR="00DD2567" w:rsidRDefault="00680E4C">
      <w:pPr>
        <w:spacing w:line="360" w:lineRule="auto"/>
        <w:ind w:firstLineChars="200" w:firstLine="480"/>
        <w:rPr>
          <w:rFonts w:ascii="宋体" w:hAnsi="宋体"/>
          <w:bCs/>
          <w:sz w:val="24"/>
        </w:rPr>
      </w:pPr>
      <w:r>
        <w:rPr>
          <w:rFonts w:ascii="宋体" w:hAnsi="宋体"/>
          <w:bCs/>
          <w:sz w:val="24"/>
        </w:rPr>
        <w:t>（九）基金份额持有人大会决议</w:t>
      </w:r>
    </w:p>
    <w:p w14:paraId="34782151"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基金份额持有人大会决定的事项，应当依法报</w:t>
      </w:r>
      <w:r>
        <w:rPr>
          <w:rFonts w:ascii="宋体" w:hAnsi="宋体" w:hint="eastAsia"/>
          <w:bCs/>
          <w:sz w:val="24"/>
        </w:rPr>
        <w:t>中国证监会</w:t>
      </w:r>
      <w:r>
        <w:rPr>
          <w:rFonts w:ascii="宋体" w:hAnsi="宋体"/>
          <w:bCs/>
          <w:sz w:val="24"/>
        </w:rPr>
        <w:t>备案，并予以公告。</w:t>
      </w:r>
    </w:p>
    <w:p w14:paraId="7FA2ECD9" w14:textId="77777777" w:rsidR="00DD2567" w:rsidRDefault="00680E4C">
      <w:pPr>
        <w:spacing w:line="360" w:lineRule="auto"/>
        <w:ind w:firstLineChars="200" w:firstLine="480"/>
        <w:rPr>
          <w:rFonts w:ascii="宋体" w:hAnsi="宋体"/>
          <w:bCs/>
          <w:sz w:val="24"/>
        </w:rPr>
      </w:pPr>
      <w:r>
        <w:rPr>
          <w:rFonts w:ascii="宋体" w:hAnsi="宋体"/>
          <w:bCs/>
          <w:sz w:val="24"/>
        </w:rPr>
        <w:t>（十）</w:t>
      </w:r>
      <w:r>
        <w:rPr>
          <w:rFonts w:ascii="宋体" w:hAnsi="宋体" w:hint="eastAsia"/>
          <w:bCs/>
          <w:sz w:val="24"/>
        </w:rPr>
        <w:t>投资中小企业私募债券相关公告</w:t>
      </w:r>
    </w:p>
    <w:p w14:paraId="28654B87" w14:textId="77777777" w:rsidR="00DD2567" w:rsidRDefault="00680E4C">
      <w:pPr>
        <w:spacing w:line="360" w:lineRule="auto"/>
        <w:ind w:firstLineChars="200" w:firstLine="480"/>
        <w:rPr>
          <w:rFonts w:ascii="宋体" w:hAnsi="宋体"/>
          <w:bCs/>
          <w:sz w:val="24"/>
        </w:rPr>
      </w:pPr>
      <w:r>
        <w:rPr>
          <w:rFonts w:ascii="宋体" w:hAnsi="宋体" w:hint="eastAsia"/>
          <w:bCs/>
          <w:sz w:val="24"/>
        </w:rPr>
        <w:t>基金管理人应当在基金投资中小企业私募债券后两个交易日内，在中国证监</w:t>
      </w:r>
      <w:r>
        <w:rPr>
          <w:rFonts w:ascii="宋体" w:hAnsi="宋体" w:hint="eastAsia"/>
          <w:bCs/>
          <w:sz w:val="24"/>
        </w:rPr>
        <w:lastRenderedPageBreak/>
        <w:t>会指定媒介披露所投资中小企业私募债券的名称、数量、期限、收益率等信息。</w:t>
      </w:r>
    </w:p>
    <w:p w14:paraId="510F35E9" w14:textId="77777777" w:rsidR="00DD2567" w:rsidRDefault="00680E4C">
      <w:pPr>
        <w:spacing w:line="360" w:lineRule="auto"/>
        <w:ind w:firstLineChars="200" w:firstLine="480"/>
        <w:rPr>
          <w:rFonts w:ascii="宋体" w:hAnsi="宋体"/>
          <w:bCs/>
          <w:sz w:val="24"/>
        </w:rPr>
      </w:pPr>
      <w:r>
        <w:rPr>
          <w:rFonts w:ascii="宋体" w:hAnsi="宋体" w:hint="eastAsia"/>
          <w:bCs/>
          <w:sz w:val="24"/>
        </w:rPr>
        <w:t>基金管理人应当在本基金季度报告、半年度报告、年度报告等定期报告和招募说明书（更新）等文件中披露中小企业私募债券的投资情况。</w:t>
      </w:r>
    </w:p>
    <w:p w14:paraId="4F940A81" w14:textId="77777777" w:rsidR="00DD2567" w:rsidRDefault="00680E4C">
      <w:pPr>
        <w:spacing w:line="336" w:lineRule="auto"/>
        <w:ind w:firstLineChars="200" w:firstLine="480"/>
        <w:rPr>
          <w:rFonts w:ascii="宋体" w:hAnsi="宋体"/>
          <w:bCs/>
          <w:sz w:val="24"/>
        </w:rPr>
      </w:pPr>
      <w:r>
        <w:rPr>
          <w:rFonts w:ascii="宋体" w:hAnsi="宋体" w:hint="eastAsia"/>
          <w:bCs/>
          <w:sz w:val="24"/>
        </w:rPr>
        <w:t>（十一）投资资产支持证券信息披露</w:t>
      </w:r>
    </w:p>
    <w:p w14:paraId="7D63CF0D" w14:textId="77777777" w:rsidR="00DD2567" w:rsidRDefault="00680E4C">
      <w:pPr>
        <w:spacing w:line="336" w:lineRule="auto"/>
        <w:ind w:firstLineChars="200" w:firstLine="480"/>
        <w:rPr>
          <w:sz w:val="23"/>
          <w:szCs w:val="23"/>
        </w:rPr>
      </w:pPr>
      <w:r>
        <w:rPr>
          <w:rFonts w:ascii="宋体" w:hAnsi="宋体" w:hint="eastAsia"/>
          <w:bCs/>
          <w:sz w:val="24"/>
        </w:rPr>
        <w:t>基金管理人应在</w:t>
      </w:r>
      <w:r>
        <w:rPr>
          <w:rFonts w:hint="eastAsia"/>
          <w:sz w:val="23"/>
          <w:szCs w:val="23"/>
        </w:rPr>
        <w:t>基金年报及半年报中披露其持有的资产支持证券总额、资产支持证券市值占基金净资产的比例和报告期内所有的资产支持证券明细。</w:t>
      </w:r>
    </w:p>
    <w:p w14:paraId="790B1DE8" w14:textId="77777777" w:rsidR="00DD2567" w:rsidRDefault="00680E4C">
      <w:pPr>
        <w:spacing w:line="336" w:lineRule="auto"/>
        <w:ind w:firstLineChars="200" w:firstLine="460"/>
        <w:rPr>
          <w:sz w:val="23"/>
          <w:szCs w:val="23"/>
        </w:rPr>
      </w:pPr>
      <w:r>
        <w:rPr>
          <w:rFonts w:hint="eastAsia"/>
          <w:sz w:val="23"/>
          <w:szCs w:val="23"/>
        </w:rPr>
        <w:t>基金管理人应在基金季度报告中披露其持有的资产支持证券总额、资产支持证券市值占基金净资产的比例和报告期末按市值占基金净资产比例大小排序的前</w:t>
      </w:r>
      <w:r>
        <w:rPr>
          <w:sz w:val="23"/>
          <w:szCs w:val="23"/>
        </w:rPr>
        <w:t>10</w:t>
      </w:r>
      <w:r>
        <w:rPr>
          <w:rFonts w:hint="eastAsia"/>
          <w:sz w:val="23"/>
          <w:szCs w:val="23"/>
        </w:rPr>
        <w:t>名资产支持证券明细。</w:t>
      </w:r>
    </w:p>
    <w:p w14:paraId="3A87349C" w14:textId="77777777" w:rsidR="00DD2567" w:rsidRDefault="00680E4C">
      <w:pPr>
        <w:spacing w:line="336" w:lineRule="auto"/>
        <w:ind w:firstLineChars="200" w:firstLine="460"/>
        <w:rPr>
          <w:sz w:val="23"/>
          <w:szCs w:val="23"/>
        </w:rPr>
      </w:pPr>
      <w:r>
        <w:rPr>
          <w:rFonts w:hint="eastAsia"/>
          <w:sz w:val="23"/>
          <w:szCs w:val="23"/>
        </w:rPr>
        <w:t>（十二）投资于股指期货的信息披露</w:t>
      </w:r>
    </w:p>
    <w:p w14:paraId="6FFA0ABA" w14:textId="77777777" w:rsidR="00DD2567" w:rsidRDefault="00680E4C">
      <w:pPr>
        <w:spacing w:line="336" w:lineRule="auto"/>
        <w:ind w:firstLineChars="200" w:firstLine="460"/>
        <w:rPr>
          <w:sz w:val="23"/>
          <w:szCs w:val="23"/>
        </w:rPr>
      </w:pPr>
      <w:r>
        <w:rPr>
          <w:rFonts w:hint="eastAsia"/>
          <w:sz w:val="23"/>
          <w:szCs w:val="23"/>
        </w:rPr>
        <w:t>基金管理人在季度报告、半年度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5132365E" w14:textId="364CEF9E" w:rsidR="00DD2567" w:rsidRDefault="00680E4C">
      <w:pPr>
        <w:spacing w:line="336" w:lineRule="auto"/>
        <w:ind w:firstLineChars="200" w:firstLine="460"/>
        <w:rPr>
          <w:rFonts w:ascii="宋体" w:hAnsi="宋体"/>
          <w:bCs/>
          <w:sz w:val="24"/>
        </w:rPr>
      </w:pPr>
      <w:r>
        <w:rPr>
          <w:rFonts w:hint="eastAsia"/>
          <w:sz w:val="23"/>
          <w:szCs w:val="23"/>
        </w:rPr>
        <w:t>（十</w:t>
      </w:r>
      <w:r w:rsidR="00420E08">
        <w:rPr>
          <w:sz w:val="23"/>
          <w:szCs w:val="23"/>
        </w:rPr>
        <w:t>三</w:t>
      </w:r>
      <w:r>
        <w:rPr>
          <w:rFonts w:hint="eastAsia"/>
          <w:sz w:val="23"/>
          <w:szCs w:val="23"/>
        </w:rPr>
        <w:t>）</w:t>
      </w:r>
      <w:r>
        <w:rPr>
          <w:rFonts w:ascii="宋体" w:hAnsi="宋体"/>
          <w:bCs/>
          <w:sz w:val="24"/>
        </w:rPr>
        <w:t>中国证监会规定的其他信息。</w:t>
      </w:r>
    </w:p>
    <w:p w14:paraId="0E5CA704" w14:textId="77777777" w:rsidR="00DD2567" w:rsidRDefault="00680E4C">
      <w:pPr>
        <w:spacing w:line="360" w:lineRule="auto"/>
        <w:ind w:firstLineChars="200" w:firstLine="480"/>
        <w:rPr>
          <w:rFonts w:ascii="宋体" w:hAnsi="宋体"/>
          <w:bCs/>
          <w:sz w:val="24"/>
        </w:rPr>
      </w:pPr>
      <w:r>
        <w:rPr>
          <w:rFonts w:ascii="宋体" w:hAnsi="宋体"/>
          <w:bCs/>
          <w:sz w:val="24"/>
        </w:rPr>
        <w:t>六、信息披露事务管理</w:t>
      </w:r>
    </w:p>
    <w:p w14:paraId="13800964" w14:textId="77777777" w:rsidR="00DD2567" w:rsidRDefault="00680E4C">
      <w:pPr>
        <w:spacing w:line="360" w:lineRule="auto"/>
        <w:ind w:firstLineChars="200" w:firstLine="480"/>
        <w:rPr>
          <w:rFonts w:ascii="宋体" w:hAnsi="宋体"/>
          <w:bCs/>
          <w:sz w:val="24"/>
        </w:rPr>
      </w:pPr>
      <w:r>
        <w:rPr>
          <w:rFonts w:ascii="宋体" w:hAnsi="宋体"/>
          <w:bCs/>
          <w:sz w:val="24"/>
        </w:rPr>
        <w:t>基金管理人、基金托管人应当建立健全信息披露管理制度，指定专人负责管理信息披露事务。</w:t>
      </w:r>
    </w:p>
    <w:p w14:paraId="31F4F900" w14:textId="77777777" w:rsidR="00DD2567" w:rsidRDefault="00680E4C">
      <w:pPr>
        <w:spacing w:line="360" w:lineRule="auto"/>
        <w:ind w:firstLineChars="200" w:firstLine="480"/>
        <w:rPr>
          <w:rFonts w:ascii="宋体" w:hAnsi="宋体"/>
          <w:bCs/>
          <w:sz w:val="24"/>
        </w:rPr>
      </w:pPr>
      <w:r>
        <w:rPr>
          <w:rFonts w:ascii="宋体" w:hAnsi="宋体"/>
          <w:bCs/>
          <w:sz w:val="24"/>
        </w:rPr>
        <w:t>基金信息披露义务人公开披露基金信息，应当符合中国证监会相关基金信息披露内容与格式准则的规定。</w:t>
      </w:r>
    </w:p>
    <w:p w14:paraId="1E014D45" w14:textId="77777777" w:rsidR="00DD2567" w:rsidRDefault="00680E4C">
      <w:pPr>
        <w:spacing w:line="360" w:lineRule="auto"/>
        <w:ind w:firstLineChars="200" w:firstLine="480"/>
        <w:rPr>
          <w:rFonts w:ascii="宋体" w:hAnsi="宋体"/>
          <w:bCs/>
          <w:sz w:val="24"/>
        </w:rPr>
      </w:pPr>
      <w:r>
        <w:rPr>
          <w:rFonts w:ascii="宋体" w:hAnsi="宋体"/>
          <w:bCs/>
          <w:sz w:val="24"/>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w:t>
      </w:r>
      <w:r>
        <w:rPr>
          <w:rFonts w:ascii="宋体" w:hAnsi="宋体" w:hint="eastAsia"/>
          <w:bCs/>
          <w:sz w:val="24"/>
        </w:rPr>
        <w:t>出具书面文件或者盖章或者以</w:t>
      </w:r>
      <w:r>
        <w:rPr>
          <w:rFonts w:ascii="宋体" w:hAnsi="宋体"/>
          <w:bCs/>
          <w:sz w:val="24"/>
        </w:rPr>
        <w:t>XBRL</w:t>
      </w:r>
      <w:r>
        <w:rPr>
          <w:rFonts w:ascii="宋体" w:hAnsi="宋体" w:hint="eastAsia"/>
          <w:bCs/>
          <w:sz w:val="24"/>
        </w:rPr>
        <w:t>电子方式复核审查并</w:t>
      </w:r>
      <w:r>
        <w:rPr>
          <w:rFonts w:ascii="宋体" w:hAnsi="宋体"/>
          <w:bCs/>
          <w:sz w:val="24"/>
        </w:rPr>
        <w:t>确认。</w:t>
      </w:r>
    </w:p>
    <w:p w14:paraId="32FE027F" w14:textId="77777777" w:rsidR="00DD2567" w:rsidRDefault="00680E4C">
      <w:pPr>
        <w:spacing w:line="360" w:lineRule="auto"/>
        <w:ind w:firstLineChars="200" w:firstLine="480"/>
        <w:rPr>
          <w:rFonts w:ascii="宋体" w:hAnsi="宋体"/>
          <w:bCs/>
          <w:sz w:val="24"/>
        </w:rPr>
      </w:pPr>
      <w:r>
        <w:rPr>
          <w:rFonts w:ascii="宋体" w:hAnsi="宋体"/>
          <w:bCs/>
          <w:sz w:val="24"/>
        </w:rPr>
        <w:t>基金管理人、基金托管人应当在指定媒介中选择披露信息的报刊。</w:t>
      </w:r>
    </w:p>
    <w:p w14:paraId="55B27EFA" w14:textId="77777777" w:rsidR="00DD2567" w:rsidRDefault="00680E4C">
      <w:pPr>
        <w:spacing w:line="360" w:lineRule="auto"/>
        <w:ind w:firstLineChars="200" w:firstLine="480"/>
        <w:rPr>
          <w:rFonts w:ascii="宋体" w:hAnsi="宋体"/>
          <w:bCs/>
          <w:sz w:val="24"/>
        </w:rPr>
      </w:pPr>
      <w:r>
        <w:rPr>
          <w:rFonts w:ascii="宋体" w:hAnsi="宋体"/>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BBE298B" w14:textId="77777777" w:rsidR="00DD2567" w:rsidRDefault="00680E4C">
      <w:pPr>
        <w:spacing w:line="360" w:lineRule="auto"/>
        <w:ind w:firstLineChars="200" w:firstLine="480"/>
        <w:rPr>
          <w:rFonts w:ascii="宋体" w:hAnsi="宋体"/>
          <w:bCs/>
          <w:sz w:val="24"/>
        </w:rPr>
      </w:pPr>
      <w:r>
        <w:rPr>
          <w:rFonts w:ascii="宋体" w:hAnsi="宋体"/>
          <w:bCs/>
          <w:sz w:val="24"/>
        </w:rPr>
        <w:t>为基金信息披露义务人公开披露的基金信息出具审计报告、法律意见书的专</w:t>
      </w:r>
      <w:r>
        <w:rPr>
          <w:rFonts w:ascii="宋体" w:hAnsi="宋体"/>
          <w:bCs/>
          <w:sz w:val="24"/>
        </w:rPr>
        <w:lastRenderedPageBreak/>
        <w:t>业机构，应当制作工作底稿，并将相关档案至少保存到《基金合同》终止后</w:t>
      </w:r>
      <w:r>
        <w:rPr>
          <w:rFonts w:ascii="宋体" w:hAnsi="宋体" w:hint="eastAsia"/>
          <w:bCs/>
          <w:sz w:val="24"/>
        </w:rPr>
        <w:t>10</w:t>
      </w:r>
      <w:r>
        <w:rPr>
          <w:rFonts w:ascii="宋体" w:hAnsi="宋体"/>
          <w:bCs/>
          <w:sz w:val="24"/>
        </w:rPr>
        <w:t>年。</w:t>
      </w:r>
    </w:p>
    <w:p w14:paraId="094C827B" w14:textId="77777777" w:rsidR="00DD2567" w:rsidRDefault="00680E4C">
      <w:pPr>
        <w:spacing w:line="360" w:lineRule="auto"/>
        <w:ind w:firstLineChars="200" w:firstLine="480"/>
        <w:rPr>
          <w:rFonts w:ascii="宋体" w:hAnsi="宋体"/>
          <w:bCs/>
          <w:sz w:val="24"/>
        </w:rPr>
      </w:pPr>
      <w:r>
        <w:rPr>
          <w:rFonts w:ascii="宋体" w:hAnsi="宋体"/>
          <w:bCs/>
          <w:sz w:val="24"/>
        </w:rPr>
        <w:t>七、信息披露文件的存放与查阅</w:t>
      </w:r>
    </w:p>
    <w:p w14:paraId="57365903" w14:textId="77777777" w:rsidR="00DD2567" w:rsidRDefault="00680E4C">
      <w:pPr>
        <w:spacing w:line="360" w:lineRule="auto"/>
        <w:ind w:firstLineChars="200" w:firstLine="480"/>
        <w:rPr>
          <w:rFonts w:ascii="宋体" w:hAnsi="宋体"/>
          <w:bCs/>
          <w:sz w:val="24"/>
        </w:rPr>
      </w:pPr>
      <w:r>
        <w:rPr>
          <w:rFonts w:ascii="宋体" w:hAnsi="宋体"/>
          <w:bCs/>
          <w:sz w:val="24"/>
        </w:rPr>
        <w:t>招募说明书公布后，应当分别置备于基金管理人、基金托管人和基金销售机构的住所，供公众查阅、复制。</w:t>
      </w:r>
    </w:p>
    <w:p w14:paraId="5B01A7FF" w14:textId="77777777" w:rsidR="00DD2567" w:rsidRDefault="00680E4C">
      <w:pPr>
        <w:spacing w:line="360" w:lineRule="auto"/>
        <w:ind w:firstLineChars="200" w:firstLine="480"/>
        <w:rPr>
          <w:rFonts w:ascii="宋体" w:hAnsi="宋体"/>
          <w:bCs/>
          <w:sz w:val="24"/>
        </w:rPr>
      </w:pPr>
      <w:r>
        <w:rPr>
          <w:rFonts w:ascii="宋体" w:hAnsi="宋体"/>
          <w:bCs/>
          <w:sz w:val="24"/>
        </w:rPr>
        <w:t>基金定期报告公布后，应当分别置备于基金管理人和基金托管人的住所，以供公众查阅、复制。</w:t>
      </w:r>
    </w:p>
    <w:p w14:paraId="6996CEA8" w14:textId="640D97C5" w:rsidR="00DD2567" w:rsidRDefault="00680E4C">
      <w:pPr>
        <w:pStyle w:val="1"/>
        <w:spacing w:before="0" w:after="0"/>
        <w:jc w:val="center"/>
        <w:rPr>
          <w:rFonts w:ascii="Times New Roman"/>
          <w:color w:val="auto"/>
          <w:sz w:val="30"/>
        </w:rPr>
      </w:pPr>
      <w:r>
        <w:rPr>
          <w:rFonts w:ascii="Times New Roman"/>
          <w:b w:val="0"/>
          <w:bCs/>
          <w:color w:val="auto"/>
          <w:sz w:val="30"/>
        </w:rPr>
        <w:br w:type="page"/>
      </w:r>
      <w:bookmarkStart w:id="290" w:name="_Toc19558"/>
      <w:bookmarkStart w:id="291" w:name="_Toc15525"/>
      <w:bookmarkStart w:id="292" w:name="_Toc3656"/>
      <w:bookmarkStart w:id="293" w:name="_Toc20052"/>
      <w:bookmarkStart w:id="294" w:name="_Toc1617"/>
      <w:bookmarkStart w:id="295" w:name="_Toc21829"/>
      <w:bookmarkStart w:id="296" w:name="_Toc25883"/>
      <w:bookmarkStart w:id="297" w:name="_Toc178"/>
      <w:bookmarkStart w:id="298" w:name="_Toc12761"/>
      <w:bookmarkStart w:id="299" w:name="_Toc342469905"/>
      <w:r>
        <w:rPr>
          <w:rFonts w:ascii="Times New Roman"/>
          <w:color w:val="auto"/>
          <w:sz w:val="30"/>
        </w:rPr>
        <w:lastRenderedPageBreak/>
        <w:t>第十六部分</w:t>
      </w:r>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r w:rsidR="007B4A6C">
        <w:rPr>
          <w:rFonts w:ascii="Times New Roman" w:hint="eastAsia"/>
          <w:color w:val="auto"/>
          <w:sz w:val="30"/>
        </w:rPr>
        <w:t xml:space="preserve"> </w:t>
      </w:r>
      <w:r>
        <w:rPr>
          <w:rFonts w:ascii="Times New Roman" w:hint="eastAsia"/>
          <w:color w:val="auto"/>
          <w:sz w:val="30"/>
        </w:rPr>
        <w:t>风险揭示</w:t>
      </w:r>
      <w:bookmarkEnd w:id="299"/>
    </w:p>
    <w:p w14:paraId="5982E7E2" w14:textId="77777777" w:rsidR="00DD2567" w:rsidRDefault="00DD2567">
      <w:pPr>
        <w:spacing w:line="360" w:lineRule="auto"/>
        <w:ind w:firstLineChars="200" w:firstLine="482"/>
        <w:rPr>
          <w:b/>
          <w:bCs/>
          <w:kern w:val="44"/>
          <w:sz w:val="24"/>
          <w:szCs w:val="24"/>
        </w:rPr>
      </w:pPr>
    </w:p>
    <w:p w14:paraId="0E06B5AD" w14:textId="77777777" w:rsidR="00DD2567" w:rsidRDefault="00680E4C">
      <w:pPr>
        <w:spacing w:line="360" w:lineRule="auto"/>
        <w:ind w:firstLineChars="200" w:firstLine="480"/>
        <w:rPr>
          <w:rFonts w:ascii="宋体" w:hAnsi="宋体"/>
          <w:bCs/>
          <w:sz w:val="24"/>
        </w:rPr>
      </w:pPr>
      <w:r>
        <w:rPr>
          <w:rFonts w:ascii="宋体" w:hAnsi="宋体" w:hint="eastAsia"/>
          <w:bCs/>
          <w:sz w:val="24"/>
        </w:rPr>
        <w:t>一、投资于本基金的风险</w:t>
      </w:r>
    </w:p>
    <w:p w14:paraId="327468E4" w14:textId="77777777" w:rsidR="00DD2567" w:rsidRDefault="00680E4C">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市场风险</w:t>
      </w:r>
    </w:p>
    <w:p w14:paraId="36E8D1C3"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为混合型基金，证券市场的变化将影响到基金的业绩。因此，宏观和微观经济因素、国家政策、市场变动、行业与个股业绩的变化、基金投资者风险收益偏好和市场流动程度等影响证券市场的各种因素将影响到本基金业绩，从而产生市场风险，这种风险主要包括：</w:t>
      </w:r>
    </w:p>
    <w:p w14:paraId="1CC40500" w14:textId="77777777" w:rsidR="00DD2567" w:rsidRDefault="00680E4C">
      <w:pPr>
        <w:spacing w:line="360" w:lineRule="auto"/>
        <w:ind w:firstLineChars="200" w:firstLine="480"/>
        <w:rPr>
          <w:rFonts w:ascii="宋体" w:hAnsi="宋体"/>
          <w:bCs/>
          <w:sz w:val="24"/>
        </w:rPr>
      </w:pPr>
      <w:r>
        <w:rPr>
          <w:rFonts w:ascii="宋体" w:hAnsi="宋体" w:hint="eastAsia"/>
          <w:bCs/>
          <w:sz w:val="24"/>
        </w:rPr>
        <w:t>（1）经济周期风险</w:t>
      </w:r>
    </w:p>
    <w:p w14:paraId="27009EB4" w14:textId="77777777" w:rsidR="00DD2567" w:rsidRDefault="00680E4C">
      <w:pPr>
        <w:spacing w:line="360" w:lineRule="auto"/>
        <w:ind w:firstLineChars="200" w:firstLine="480"/>
        <w:rPr>
          <w:rFonts w:ascii="宋体" w:hAnsi="宋体"/>
          <w:bCs/>
          <w:sz w:val="24"/>
        </w:rPr>
      </w:pPr>
      <w:r>
        <w:rPr>
          <w:rFonts w:ascii="宋体" w:hAnsi="宋体" w:hint="eastAsia"/>
          <w:bCs/>
          <w:sz w:val="24"/>
        </w:rPr>
        <w:t>随着经济运行的周期性变化，国家经济、微观经济、行业及上市公司的盈利水平也可能呈周期性变化，从而影响到证券市场及行业的走势。</w:t>
      </w:r>
    </w:p>
    <w:p w14:paraId="5DD520BA" w14:textId="77777777" w:rsidR="00DD2567" w:rsidRDefault="00680E4C">
      <w:pPr>
        <w:spacing w:line="360" w:lineRule="auto"/>
        <w:ind w:firstLineChars="200" w:firstLine="480"/>
        <w:rPr>
          <w:rFonts w:ascii="宋体" w:hAnsi="宋体"/>
          <w:bCs/>
          <w:sz w:val="24"/>
        </w:rPr>
      </w:pPr>
      <w:r>
        <w:rPr>
          <w:rFonts w:ascii="宋体" w:hAnsi="宋体" w:hint="eastAsia"/>
          <w:bCs/>
          <w:sz w:val="24"/>
        </w:rPr>
        <w:t>（2）政策风险</w:t>
      </w:r>
    </w:p>
    <w:p w14:paraId="54556865" w14:textId="77777777" w:rsidR="00DD2567" w:rsidRDefault="00680E4C">
      <w:pPr>
        <w:spacing w:line="360" w:lineRule="auto"/>
        <w:ind w:firstLineChars="200" w:firstLine="480"/>
        <w:rPr>
          <w:rFonts w:ascii="宋体" w:hAnsi="宋体"/>
          <w:bCs/>
          <w:sz w:val="24"/>
        </w:rPr>
      </w:pPr>
      <w:r>
        <w:rPr>
          <w:rFonts w:ascii="宋体" w:hAnsi="宋体" w:hint="eastAsia"/>
          <w:bCs/>
          <w:sz w:val="24"/>
        </w:rPr>
        <w:t>因国家的各项政策，如财政政策、货币政策、产业政策、地区发展政策等发生变化，导致证券市场波动而影响基金投资收益，产生风险。</w:t>
      </w:r>
    </w:p>
    <w:p w14:paraId="6B92C8F3" w14:textId="77777777" w:rsidR="00DD2567" w:rsidRDefault="00680E4C">
      <w:pPr>
        <w:spacing w:line="360" w:lineRule="auto"/>
        <w:ind w:firstLineChars="200" w:firstLine="480"/>
        <w:rPr>
          <w:rFonts w:ascii="宋体" w:hAnsi="宋体"/>
          <w:bCs/>
          <w:sz w:val="24"/>
        </w:rPr>
      </w:pPr>
      <w:r>
        <w:rPr>
          <w:rFonts w:ascii="宋体" w:hAnsi="宋体" w:hint="eastAsia"/>
          <w:bCs/>
          <w:sz w:val="24"/>
        </w:rPr>
        <w:t>（3）利率风险</w:t>
      </w:r>
    </w:p>
    <w:p w14:paraId="7933FF72" w14:textId="77777777" w:rsidR="00DD2567" w:rsidRDefault="00680E4C">
      <w:pPr>
        <w:spacing w:line="360" w:lineRule="auto"/>
        <w:ind w:firstLineChars="200" w:firstLine="480"/>
        <w:rPr>
          <w:rFonts w:ascii="宋体" w:hAnsi="宋体"/>
          <w:bCs/>
          <w:sz w:val="24"/>
        </w:rPr>
      </w:pPr>
      <w:r>
        <w:rPr>
          <w:rFonts w:ascii="宋体" w:hAnsi="宋体" w:hint="eastAsia"/>
          <w:bCs/>
          <w:sz w:val="24"/>
        </w:rPr>
        <w:t>由于利率发生变化和波动使得证券价格和证券利息产生波动，从而影响到基金业绩。</w:t>
      </w:r>
    </w:p>
    <w:p w14:paraId="5ADBAB47" w14:textId="77777777" w:rsidR="00DD2567" w:rsidRDefault="00680E4C">
      <w:pPr>
        <w:spacing w:line="360" w:lineRule="auto"/>
        <w:ind w:firstLineChars="200" w:firstLine="480"/>
        <w:rPr>
          <w:rFonts w:ascii="宋体" w:hAnsi="宋体"/>
          <w:bCs/>
          <w:sz w:val="24"/>
        </w:rPr>
      </w:pPr>
      <w:r>
        <w:rPr>
          <w:rFonts w:ascii="宋体" w:hAnsi="宋体" w:hint="eastAsia"/>
          <w:bCs/>
          <w:sz w:val="24"/>
        </w:rPr>
        <w:t>（4）信用风险</w:t>
      </w:r>
    </w:p>
    <w:p w14:paraId="3846AE2A" w14:textId="77777777" w:rsidR="00DD2567" w:rsidRDefault="00680E4C">
      <w:pPr>
        <w:spacing w:line="360" w:lineRule="auto"/>
        <w:ind w:firstLineChars="200" w:firstLine="480"/>
        <w:rPr>
          <w:rFonts w:ascii="宋体" w:hAnsi="宋体"/>
          <w:bCs/>
          <w:sz w:val="24"/>
        </w:rPr>
      </w:pPr>
      <w:r>
        <w:rPr>
          <w:rFonts w:ascii="宋体" w:hAnsi="宋体" w:hint="eastAsia"/>
          <w:bCs/>
          <w:sz w:val="24"/>
        </w:rPr>
        <w:t>当证券发行人不能够实现发行时所做出的承诺，按时足额还本付息的时候，就会产生信用风险。信用风险主要来自于发行人和担保人。一般认为：国债的信用风险可以视为零，而其他债券的信用风险可根据专业机构的信用评级确定。当证券的信用等级发生变化时，可能会产生证券的价格变动，从而影响到基金资产。</w:t>
      </w:r>
    </w:p>
    <w:p w14:paraId="0A946644" w14:textId="77777777" w:rsidR="00DD2567" w:rsidRDefault="00680E4C">
      <w:pPr>
        <w:spacing w:line="360" w:lineRule="auto"/>
        <w:ind w:firstLineChars="200" w:firstLine="480"/>
        <w:rPr>
          <w:rFonts w:ascii="宋体" w:hAnsi="宋体"/>
          <w:bCs/>
          <w:sz w:val="24"/>
        </w:rPr>
      </w:pPr>
      <w:r>
        <w:rPr>
          <w:rFonts w:ascii="宋体" w:hAnsi="宋体" w:hint="eastAsia"/>
          <w:bCs/>
          <w:sz w:val="24"/>
        </w:rPr>
        <w:t>（5）再投资风险</w:t>
      </w:r>
    </w:p>
    <w:p w14:paraId="7A23EC7B" w14:textId="77777777" w:rsidR="00DD2567" w:rsidRDefault="00680E4C">
      <w:pPr>
        <w:spacing w:line="360" w:lineRule="auto"/>
        <w:ind w:firstLineChars="200" w:firstLine="480"/>
        <w:rPr>
          <w:rFonts w:ascii="宋体" w:hAnsi="宋体"/>
          <w:bCs/>
          <w:sz w:val="24"/>
        </w:rPr>
      </w:pPr>
      <w:r>
        <w:rPr>
          <w:rFonts w:ascii="宋体" w:hAnsi="宋体" w:hint="eastAsia"/>
          <w:bCs/>
          <w:sz w:val="24"/>
        </w:rPr>
        <w:t>未来市场利率的变化可能会引起再投资收益的不确定性并可能影响到基金投资策略的顺利实施。</w:t>
      </w:r>
    </w:p>
    <w:p w14:paraId="4F342A36" w14:textId="77777777" w:rsidR="00DD2567" w:rsidRDefault="00680E4C">
      <w:pPr>
        <w:spacing w:line="360" w:lineRule="auto"/>
        <w:ind w:firstLineChars="200" w:firstLine="480"/>
        <w:rPr>
          <w:rFonts w:ascii="宋体" w:hAnsi="宋体"/>
          <w:bCs/>
          <w:sz w:val="24"/>
        </w:rPr>
      </w:pPr>
      <w:r>
        <w:rPr>
          <w:rFonts w:ascii="宋体" w:hAnsi="宋体" w:hint="eastAsia"/>
          <w:bCs/>
          <w:sz w:val="24"/>
        </w:rPr>
        <w:t>（6）购买力风险</w:t>
      </w:r>
    </w:p>
    <w:p w14:paraId="1F443974" w14:textId="77777777" w:rsidR="00DD2567" w:rsidRDefault="00680E4C">
      <w:pPr>
        <w:spacing w:line="360" w:lineRule="auto"/>
        <w:ind w:firstLineChars="200" w:firstLine="480"/>
        <w:rPr>
          <w:rFonts w:ascii="宋体" w:hAnsi="宋体"/>
          <w:bCs/>
          <w:sz w:val="24"/>
        </w:rPr>
      </w:pPr>
      <w:r>
        <w:rPr>
          <w:rFonts w:ascii="宋体" w:hAnsi="宋体" w:hint="eastAsia"/>
          <w:bCs/>
          <w:sz w:val="24"/>
        </w:rPr>
        <w:t>基金份额持有人收益将主要通过现金形式来分配，而现金可能因为通货膨胀因素而使其购买力下降。</w:t>
      </w:r>
    </w:p>
    <w:p w14:paraId="175CD6D5" w14:textId="77777777" w:rsidR="00DD2567" w:rsidRDefault="00680E4C">
      <w:pPr>
        <w:spacing w:line="360" w:lineRule="auto"/>
        <w:ind w:firstLineChars="200" w:firstLine="480"/>
        <w:rPr>
          <w:rFonts w:ascii="宋体" w:hAnsi="宋体"/>
          <w:bCs/>
          <w:sz w:val="24"/>
        </w:rPr>
      </w:pPr>
      <w:r>
        <w:rPr>
          <w:rFonts w:ascii="宋体" w:hAnsi="宋体" w:hint="eastAsia"/>
          <w:bCs/>
          <w:sz w:val="24"/>
        </w:rPr>
        <w:t>（7）上市公司经营风险</w:t>
      </w:r>
    </w:p>
    <w:p w14:paraId="5FAA6BFD" w14:textId="77777777" w:rsidR="00DD2567" w:rsidRDefault="00680E4C">
      <w:pPr>
        <w:spacing w:line="360" w:lineRule="auto"/>
        <w:ind w:firstLineChars="200" w:firstLine="480"/>
        <w:rPr>
          <w:rFonts w:ascii="宋体" w:hAnsi="宋体"/>
          <w:bCs/>
          <w:sz w:val="24"/>
        </w:rPr>
      </w:pPr>
      <w:r>
        <w:rPr>
          <w:rFonts w:ascii="宋体" w:hAnsi="宋体" w:hint="eastAsia"/>
          <w:bCs/>
          <w:sz w:val="24"/>
        </w:rPr>
        <w:lastRenderedPageBreak/>
        <w:t>上市公司的经营状况受多种因素的影响，如经营决策、技术变革、新产品研发、竞争加剧等风险。如果基金所投资的上市公司基本面或发展前景产生变化，可能导致其股价的下跌，或者可分配利润的降低，使基金预期收益产生波动。虽然基金可以通过分散化投资来减少风险，但不能完全规避。</w:t>
      </w:r>
    </w:p>
    <w:p w14:paraId="27FDB51C" w14:textId="77777777" w:rsidR="00DD2567" w:rsidRDefault="00680E4C">
      <w:pPr>
        <w:spacing w:line="360" w:lineRule="auto"/>
        <w:ind w:firstLineChars="200" w:firstLine="480"/>
        <w:rPr>
          <w:rFonts w:ascii="宋体" w:hAnsi="宋体"/>
          <w:bCs/>
          <w:sz w:val="24"/>
        </w:rPr>
      </w:pPr>
      <w:r>
        <w:rPr>
          <w:rFonts w:ascii="宋体" w:hAnsi="宋体" w:hint="eastAsia"/>
          <w:bCs/>
          <w:sz w:val="24"/>
        </w:rPr>
        <w:t>（8）创业板较易出现的风险</w:t>
      </w:r>
    </w:p>
    <w:p w14:paraId="4B19B1BD" w14:textId="77777777" w:rsidR="00DD2567" w:rsidRDefault="00680E4C">
      <w:pPr>
        <w:spacing w:line="360" w:lineRule="auto"/>
        <w:ind w:firstLineChars="200" w:firstLine="480"/>
        <w:rPr>
          <w:rFonts w:ascii="宋体" w:hAnsi="宋体"/>
          <w:bCs/>
          <w:sz w:val="24"/>
        </w:rPr>
      </w:pPr>
      <w:r>
        <w:rPr>
          <w:rFonts w:ascii="宋体" w:hAnsi="宋体" w:hint="eastAsia"/>
          <w:bCs/>
          <w:sz w:val="24"/>
        </w:rPr>
        <w:t>这些风险包括：由于</w:t>
      </w:r>
      <w:r>
        <w:rPr>
          <w:rFonts w:ascii="宋体" w:hAnsi="宋体"/>
          <w:bCs/>
          <w:sz w:val="24"/>
        </w:rPr>
        <w:t>创业企业经营稳定性整体上低于主板上市公司，一些上市公司经营可能大起大落甚至经营失败，因此退市的风险较大。相对于主板，创业板上市公司流通市值一般相对较小，较大数量的股票买卖行为就有可能诱发股价出现大幅波动，</w:t>
      </w:r>
      <w:r>
        <w:rPr>
          <w:rFonts w:ascii="宋体" w:hAnsi="宋体" w:hint="eastAsia"/>
          <w:bCs/>
          <w:sz w:val="24"/>
        </w:rPr>
        <w:t>股价也有较易被操纵的风险</w:t>
      </w:r>
      <w:r>
        <w:rPr>
          <w:rFonts w:ascii="宋体" w:hAnsi="宋体"/>
          <w:bCs/>
          <w:sz w:val="24"/>
        </w:rPr>
        <w:t>。</w:t>
      </w:r>
    </w:p>
    <w:p w14:paraId="33C46CD6" w14:textId="77777777" w:rsidR="00DD2567" w:rsidRDefault="00680E4C">
      <w:pPr>
        <w:spacing w:line="360" w:lineRule="auto"/>
        <w:ind w:firstLineChars="200" w:firstLine="480"/>
        <w:rPr>
          <w:rFonts w:ascii="宋体" w:hAnsi="宋体"/>
          <w:bCs/>
          <w:sz w:val="24"/>
        </w:rPr>
      </w:pPr>
      <w:r>
        <w:rPr>
          <w:rFonts w:ascii="宋体" w:hAnsi="宋体" w:hint="eastAsia"/>
          <w:bCs/>
          <w:sz w:val="24"/>
        </w:rPr>
        <w:t>（9）股指期货使用的风险</w:t>
      </w:r>
    </w:p>
    <w:p w14:paraId="11902B08" w14:textId="77777777" w:rsidR="00DD2567" w:rsidRDefault="00680E4C">
      <w:pPr>
        <w:spacing w:line="360" w:lineRule="auto"/>
        <w:ind w:firstLineChars="200" w:firstLine="480"/>
        <w:rPr>
          <w:rFonts w:ascii="宋体" w:hAnsi="宋体"/>
          <w:bCs/>
          <w:sz w:val="24"/>
        </w:rPr>
      </w:pPr>
      <w:r>
        <w:rPr>
          <w:rFonts w:ascii="宋体" w:hAnsi="宋体" w:hint="eastAsia"/>
          <w:bCs/>
          <w:sz w:val="24"/>
        </w:rPr>
        <w:t>这些风险包括：采用历史数据统计套期保值头寸与未来市场变动后实际所需头寸之间差异的风险，由于指令不清晰、交易人员操作失误等人为因素造成的操作风险等等。</w:t>
      </w:r>
    </w:p>
    <w:p w14:paraId="62CF8ADA" w14:textId="77777777" w:rsidR="00DD2567" w:rsidRDefault="00680E4C">
      <w:pPr>
        <w:spacing w:line="360" w:lineRule="auto"/>
        <w:ind w:firstLineChars="200" w:firstLine="480"/>
        <w:rPr>
          <w:rFonts w:ascii="宋体" w:hAnsi="宋体"/>
          <w:bCs/>
          <w:sz w:val="24"/>
        </w:rPr>
      </w:pPr>
      <w:r>
        <w:rPr>
          <w:rFonts w:ascii="宋体" w:hAnsi="宋体" w:hint="eastAsia"/>
          <w:bCs/>
          <w:sz w:val="24"/>
        </w:rPr>
        <w:t>（10）债券收益率曲线变动的风险</w:t>
      </w:r>
    </w:p>
    <w:p w14:paraId="4F0EA8D5" w14:textId="77777777" w:rsidR="00DD2567" w:rsidRDefault="00680E4C">
      <w:pPr>
        <w:spacing w:line="360" w:lineRule="auto"/>
        <w:ind w:firstLineChars="200" w:firstLine="480"/>
        <w:rPr>
          <w:rFonts w:ascii="宋体" w:hAnsi="宋体"/>
          <w:bCs/>
          <w:sz w:val="24"/>
        </w:rPr>
      </w:pPr>
      <w:r>
        <w:rPr>
          <w:rFonts w:ascii="宋体" w:hAnsi="宋体" w:hint="eastAsia"/>
          <w:bCs/>
          <w:sz w:val="24"/>
        </w:rPr>
        <w:t>债券收益率曲线变动风险是指与收益率曲线非平行移动有关的风险，单一的久期指标并不能充分反映这一风险的存在。</w:t>
      </w:r>
    </w:p>
    <w:p w14:paraId="006FD2D7" w14:textId="77777777" w:rsidR="00DD2567" w:rsidRDefault="00680E4C">
      <w:pPr>
        <w:spacing w:line="360" w:lineRule="auto"/>
        <w:ind w:firstLineChars="200" w:firstLine="480"/>
        <w:rPr>
          <w:rFonts w:ascii="宋体" w:hAnsi="宋体"/>
          <w:bCs/>
          <w:sz w:val="24"/>
        </w:rPr>
      </w:pPr>
      <w:r>
        <w:rPr>
          <w:rFonts w:ascii="宋体" w:hAnsi="宋体" w:hint="eastAsia"/>
          <w:bCs/>
          <w:sz w:val="24"/>
        </w:rPr>
        <w:t>2、管理风险</w:t>
      </w:r>
    </w:p>
    <w:p w14:paraId="5CF84551" w14:textId="77777777" w:rsidR="00DD2567" w:rsidRDefault="00680E4C">
      <w:pPr>
        <w:spacing w:line="360" w:lineRule="auto"/>
        <w:ind w:firstLineChars="200" w:firstLine="480"/>
        <w:rPr>
          <w:rFonts w:ascii="宋体" w:hAnsi="宋体"/>
          <w:bCs/>
          <w:sz w:val="24"/>
        </w:rPr>
      </w:pPr>
      <w:r>
        <w:rPr>
          <w:rFonts w:ascii="宋体" w:hAnsi="宋体" w:hint="eastAsia"/>
          <w:bCs/>
          <w:sz w:val="24"/>
        </w:rPr>
        <w:t>（1）管理风险</w:t>
      </w:r>
    </w:p>
    <w:p w14:paraId="3B880BA5"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可能因为基金管理人的管理水平、手段和技术等因素，而影响基金收益水平。这种风险可能表现在基金整体的投资组合管理上，例如资产配置、类属配置不能达到预期收益目标；也可能表现在个券个股的选择不能符合本基金的投资风格和投资目标等。</w:t>
      </w:r>
    </w:p>
    <w:p w14:paraId="6D33885D" w14:textId="77777777" w:rsidR="00DD2567" w:rsidRDefault="00680E4C">
      <w:pPr>
        <w:spacing w:line="360" w:lineRule="auto"/>
        <w:ind w:firstLineChars="200" w:firstLine="480"/>
        <w:rPr>
          <w:rFonts w:ascii="宋体" w:hAnsi="宋体"/>
          <w:bCs/>
          <w:sz w:val="24"/>
        </w:rPr>
      </w:pPr>
      <w:r>
        <w:rPr>
          <w:rFonts w:ascii="宋体" w:hAnsi="宋体" w:hint="eastAsia"/>
          <w:bCs/>
          <w:sz w:val="24"/>
        </w:rPr>
        <w:t>（2）产品创新带来的风险</w:t>
      </w:r>
    </w:p>
    <w:p w14:paraId="6D03464D" w14:textId="77777777" w:rsidR="00DD2567" w:rsidRDefault="00680E4C">
      <w:pPr>
        <w:spacing w:line="360" w:lineRule="auto"/>
        <w:ind w:firstLineChars="200" w:firstLine="480"/>
        <w:rPr>
          <w:rFonts w:ascii="宋体" w:hAnsi="宋体"/>
          <w:bCs/>
          <w:sz w:val="24"/>
        </w:rPr>
      </w:pPr>
      <w:r>
        <w:rPr>
          <w:rFonts w:ascii="宋体" w:hAnsi="宋体" w:hint="eastAsia"/>
          <w:bCs/>
          <w:sz w:val="24"/>
        </w:rPr>
        <w:t>随着中国证券市场不断发展，各种国外的投资工具也将被逐步引入，这些新的投资工具在为基金资产提供保值增值功能的同时，也会产生一些新的风险，例如利率期货带来的期货投资风险，期权产品带来的定价风险等。同时，基金管理人也可能因为对这些新的投资产品的不熟悉而发生投资错误，产生投资风险。</w:t>
      </w:r>
    </w:p>
    <w:p w14:paraId="31ACF52E" w14:textId="77777777" w:rsidR="00DD2567" w:rsidRDefault="00680E4C">
      <w:pPr>
        <w:spacing w:line="360" w:lineRule="auto"/>
        <w:ind w:firstLineChars="200" w:firstLine="480"/>
        <w:rPr>
          <w:rFonts w:ascii="宋体" w:hAnsi="宋体"/>
          <w:bCs/>
          <w:sz w:val="24"/>
        </w:rPr>
      </w:pPr>
      <w:r>
        <w:rPr>
          <w:rFonts w:ascii="宋体" w:hAnsi="宋体" w:hint="eastAsia"/>
          <w:bCs/>
          <w:sz w:val="24"/>
        </w:rPr>
        <w:t>3、估值风险</w:t>
      </w:r>
    </w:p>
    <w:p w14:paraId="5346AD44"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本基金采用的估值方法有可能不能充分反映和揭示利率风险，或经济环境发</w:t>
      </w:r>
      <w:r>
        <w:rPr>
          <w:rFonts w:ascii="宋体" w:hAnsi="宋体" w:hint="eastAsia"/>
          <w:bCs/>
          <w:sz w:val="24"/>
        </w:rPr>
        <w:lastRenderedPageBreak/>
        <w:t>生重大变化时，在一定时期内可能高估或低估基金资产净值。基金管理人和基金托管人将共同协商，参考类似投资品种的现行市价及重大变化因素，调整最近交易市价，使调整后的基金资产净值更公允地反映基金资产价值，确保基金资产净值不会对基金份额持有人造成实质性的损害。</w:t>
      </w:r>
    </w:p>
    <w:p w14:paraId="5971F573" w14:textId="77777777" w:rsidR="00DD2567" w:rsidRDefault="00680E4C">
      <w:pPr>
        <w:spacing w:line="360" w:lineRule="auto"/>
        <w:ind w:firstLineChars="200" w:firstLine="480"/>
        <w:rPr>
          <w:rFonts w:ascii="宋体" w:hAnsi="宋体"/>
          <w:bCs/>
          <w:sz w:val="24"/>
        </w:rPr>
      </w:pPr>
      <w:r>
        <w:rPr>
          <w:rFonts w:ascii="宋体" w:hAnsi="宋体" w:hint="eastAsia"/>
          <w:bCs/>
          <w:sz w:val="24"/>
        </w:rPr>
        <w:t>4、流动性风险</w:t>
      </w:r>
    </w:p>
    <w:p w14:paraId="03E21E43"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面临的流动性风险主要表现在几个方面：建仓成本控制不力，建仓时效不高；基金资产变现能力差，或变现成本高；在基金投资者大额赎回时缺乏应对手段；证券投资中个券和个股的流动性风险等。这些风险的主要形成原因是：</w:t>
      </w:r>
    </w:p>
    <w:p w14:paraId="14AFAFE2" w14:textId="77777777" w:rsidR="00DD2567" w:rsidRDefault="00680E4C">
      <w:pPr>
        <w:spacing w:line="360" w:lineRule="auto"/>
        <w:ind w:firstLineChars="200" w:firstLine="480"/>
        <w:rPr>
          <w:rFonts w:ascii="宋体" w:hAnsi="宋体"/>
          <w:bCs/>
          <w:sz w:val="24"/>
        </w:rPr>
      </w:pPr>
      <w:r>
        <w:rPr>
          <w:rFonts w:ascii="宋体" w:hAnsi="宋体" w:hint="eastAsia"/>
          <w:bCs/>
          <w:sz w:val="24"/>
        </w:rPr>
        <w:t>（1）市场整体流动性问题</w:t>
      </w:r>
    </w:p>
    <w:p w14:paraId="32FB25C7" w14:textId="77777777" w:rsidR="00DD2567" w:rsidRDefault="00680E4C">
      <w:pPr>
        <w:spacing w:line="360" w:lineRule="auto"/>
        <w:ind w:firstLineChars="200" w:firstLine="480"/>
        <w:rPr>
          <w:rFonts w:ascii="宋体" w:hAnsi="宋体"/>
          <w:bCs/>
          <w:sz w:val="24"/>
        </w:rPr>
      </w:pPr>
      <w:r>
        <w:rPr>
          <w:rFonts w:ascii="宋体" w:hAnsi="宋体" w:hint="eastAsia"/>
          <w:bCs/>
          <w:sz w:val="24"/>
        </w:rPr>
        <w:t>证券市场的流动性受到价格、投资群体等诸多因素的影响，在不同状况下，其流动性表现是不均衡的，具体表现为：在某些时期成交活跃，流动性非常好，而在另一些时期，则可能成交稀少，流动性差。在市场流动性特别是创业板市场出现问题时，本基金的操作有可能发生建仓成本增加或变现困难的情况。这种风险在发生大额申购和大额赎回时表现尤为突出。</w:t>
      </w:r>
    </w:p>
    <w:p w14:paraId="67E5115E" w14:textId="77777777" w:rsidR="00DD2567" w:rsidRDefault="00680E4C">
      <w:pPr>
        <w:spacing w:line="360" w:lineRule="auto"/>
        <w:ind w:firstLineChars="200" w:firstLine="480"/>
        <w:rPr>
          <w:rFonts w:ascii="宋体" w:hAnsi="宋体"/>
          <w:bCs/>
          <w:sz w:val="24"/>
        </w:rPr>
      </w:pPr>
      <w:r>
        <w:rPr>
          <w:rFonts w:ascii="宋体" w:hAnsi="宋体" w:hint="eastAsia"/>
          <w:bCs/>
          <w:sz w:val="24"/>
        </w:rPr>
        <w:t>（2）市场中流动性不均匀，存在个股和个券流动性风险</w:t>
      </w:r>
    </w:p>
    <w:p w14:paraId="59D82754" w14:textId="77777777" w:rsidR="00DD2567" w:rsidRDefault="00680E4C">
      <w:pPr>
        <w:spacing w:line="360" w:lineRule="auto"/>
        <w:ind w:firstLineChars="200" w:firstLine="480"/>
        <w:rPr>
          <w:rFonts w:ascii="宋体" w:hAnsi="宋体"/>
          <w:bCs/>
          <w:sz w:val="24"/>
        </w:rPr>
      </w:pPr>
      <w:r>
        <w:rPr>
          <w:rFonts w:ascii="宋体" w:hAnsi="宋体" w:hint="eastAsia"/>
          <w:bCs/>
          <w:sz w:val="24"/>
        </w:rPr>
        <w:t>由于不同投资品种受到市场影响的程度不同，即使在整体市场流动性较好的情况下，一些单一投资品种仍可能出现流动性问题，这种情况的存在使得本基金在进行投资操作时，可能难以按计划买入或卖出相应数量的证券，或买入卖出行为对证券价格产生比较大的影响，增加基金投资成本。这种风险在出现个股和个券停牌和涨跌停板等情况时表现得尤为突出。</w:t>
      </w:r>
    </w:p>
    <w:p w14:paraId="546995BC" w14:textId="77777777" w:rsidR="00DD2567" w:rsidRDefault="00680E4C">
      <w:pPr>
        <w:spacing w:line="360" w:lineRule="auto"/>
        <w:ind w:firstLineChars="200" w:firstLine="480"/>
        <w:rPr>
          <w:rFonts w:ascii="宋体" w:hAnsi="宋体"/>
          <w:bCs/>
          <w:sz w:val="24"/>
        </w:rPr>
      </w:pPr>
      <w:r>
        <w:rPr>
          <w:rFonts w:ascii="宋体" w:hAnsi="宋体" w:hint="eastAsia"/>
          <w:bCs/>
          <w:sz w:val="24"/>
        </w:rPr>
        <w:t>5、本基金的特定风险</w:t>
      </w:r>
    </w:p>
    <w:p w14:paraId="71A22D6D"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采用定量分析和定性分析相结合的方法，深入研究我国经济周期当前所处阶段（复苏、扩张、滞胀和衰退）及未来发展方向，确定不同经济周期阶段下的资产配置和行业投资策略，精选优质上市公司股票构建投资组合。在实际操作过程中可能出现上述投资策略与市场走势不一致，导致投资者承担一定风险的情况。具体风险主要包括：</w:t>
      </w:r>
    </w:p>
    <w:p w14:paraId="75B5B085" w14:textId="77777777" w:rsidR="00DD2567" w:rsidRDefault="00680E4C">
      <w:pPr>
        <w:spacing w:line="360" w:lineRule="auto"/>
        <w:ind w:firstLineChars="200" w:firstLine="480"/>
        <w:rPr>
          <w:rFonts w:ascii="宋体" w:hAnsi="宋体"/>
          <w:bCs/>
          <w:sz w:val="24"/>
        </w:rPr>
      </w:pPr>
      <w:r>
        <w:rPr>
          <w:rFonts w:ascii="宋体" w:hAnsi="宋体" w:hint="eastAsia"/>
          <w:bCs/>
          <w:sz w:val="24"/>
        </w:rPr>
        <w:t>（1）本基金对我国经济周期当前所处阶段及未来发展方向的判断可能与实际宏观经济走势不完全一致；</w:t>
      </w:r>
    </w:p>
    <w:p w14:paraId="5641DD52" w14:textId="77777777" w:rsidR="00DD2567" w:rsidRDefault="00680E4C">
      <w:pPr>
        <w:spacing w:line="360" w:lineRule="auto"/>
        <w:ind w:firstLineChars="200" w:firstLine="480"/>
        <w:rPr>
          <w:rFonts w:ascii="宋体" w:hAnsi="宋体"/>
          <w:bCs/>
          <w:sz w:val="24"/>
        </w:rPr>
      </w:pPr>
      <w:r>
        <w:rPr>
          <w:rFonts w:ascii="宋体" w:hAnsi="宋体" w:hint="eastAsia"/>
          <w:bCs/>
          <w:sz w:val="24"/>
        </w:rPr>
        <w:t>（2）本基金基于投资时钟理论的资产配置策略和行业轮动策略是建立在理</w:t>
      </w:r>
      <w:r>
        <w:rPr>
          <w:rFonts w:ascii="宋体" w:hAnsi="宋体" w:hint="eastAsia"/>
          <w:bCs/>
          <w:sz w:val="24"/>
        </w:rPr>
        <w:lastRenderedPageBreak/>
        <w:t>论假设和历史数据分析的基础之上，判断结果可能与证券市场实际表现存在差异；</w:t>
      </w:r>
    </w:p>
    <w:p w14:paraId="37D46822" w14:textId="77777777" w:rsidR="00DD2567" w:rsidRDefault="00680E4C">
      <w:pPr>
        <w:spacing w:line="360" w:lineRule="auto"/>
        <w:ind w:firstLineChars="200" w:firstLine="480"/>
        <w:rPr>
          <w:rFonts w:ascii="宋体" w:hAnsi="宋体"/>
          <w:bCs/>
          <w:sz w:val="24"/>
        </w:rPr>
      </w:pPr>
      <w:r>
        <w:rPr>
          <w:rFonts w:ascii="宋体" w:hAnsi="宋体" w:hint="eastAsia"/>
          <w:bCs/>
          <w:sz w:val="24"/>
        </w:rPr>
        <w:t>（3）在精选个股的操作过程中，本基金对相对强势行业中优质上市公司基本面（包括公司行业地位、公司财务状况等）的研究是否准确、在正确分析优质上市公司基本面的前提下，基金管理人能否准确判断与把握其股票投资机会等因素均可能导致其精选出的个股业绩表现不一定持续优于其他个股。</w:t>
      </w:r>
    </w:p>
    <w:p w14:paraId="6AABB5EB"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本基金管理人将充分发挥专业优势，持续深入研究，不断优化组合配置，以控制特定风险。</w:t>
      </w:r>
    </w:p>
    <w:p w14:paraId="586EE2D8" w14:textId="77777777" w:rsidR="00DD2567" w:rsidRDefault="00680E4C">
      <w:pPr>
        <w:spacing w:line="360" w:lineRule="auto"/>
        <w:ind w:firstLineChars="200" w:firstLine="480"/>
        <w:rPr>
          <w:rFonts w:ascii="宋体" w:hAnsi="宋体"/>
          <w:bCs/>
          <w:sz w:val="24"/>
        </w:rPr>
      </w:pPr>
      <w:r>
        <w:rPr>
          <w:rFonts w:ascii="宋体" w:hAnsi="宋体" w:hint="eastAsia"/>
          <w:bCs/>
          <w:sz w:val="24"/>
        </w:rPr>
        <w:t>6、投资中小企业私募债券的风险</w:t>
      </w:r>
    </w:p>
    <w:p w14:paraId="31015694"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可以投资于中小企业私募债券，该类债券发行利率较高，但没有相关评级要求，且发债主体为非上市公司，信用风险较高；此外，该类债券以非公开方式发行和转让，具有一定的流动性风险。本基金投资于该类债券，可能会因发债主体违约产生信用风险，或无法及时转让产生流动性风险等。</w:t>
      </w:r>
    </w:p>
    <w:p w14:paraId="1B634B01" w14:textId="77777777" w:rsidR="00DD2567" w:rsidRDefault="00680E4C">
      <w:pPr>
        <w:spacing w:line="360" w:lineRule="auto"/>
        <w:ind w:firstLineChars="200" w:firstLine="480"/>
        <w:rPr>
          <w:rFonts w:ascii="宋体" w:hAnsi="宋体"/>
          <w:bCs/>
          <w:sz w:val="24"/>
        </w:rPr>
      </w:pPr>
      <w:r>
        <w:rPr>
          <w:rFonts w:ascii="宋体" w:hAnsi="宋体" w:hint="eastAsia"/>
          <w:bCs/>
          <w:sz w:val="24"/>
        </w:rPr>
        <w:t>7、其他风险</w:t>
      </w:r>
    </w:p>
    <w:p w14:paraId="4B4113AB" w14:textId="77777777" w:rsidR="00DD2567" w:rsidRDefault="00680E4C">
      <w:pPr>
        <w:spacing w:line="360" w:lineRule="auto"/>
        <w:ind w:firstLineChars="200" w:firstLine="480"/>
        <w:rPr>
          <w:rFonts w:ascii="宋体" w:hAnsi="宋体"/>
          <w:bCs/>
          <w:sz w:val="24"/>
        </w:rPr>
      </w:pPr>
      <w:r>
        <w:rPr>
          <w:rFonts w:ascii="宋体" w:hAnsi="宋体" w:hint="eastAsia"/>
          <w:bCs/>
          <w:sz w:val="24"/>
        </w:rPr>
        <w:t>（1）技术风险</w:t>
      </w:r>
    </w:p>
    <w:p w14:paraId="1A9C6AB4" w14:textId="77777777" w:rsidR="00DD2567" w:rsidRDefault="00680E4C">
      <w:pPr>
        <w:spacing w:line="360" w:lineRule="auto"/>
        <w:ind w:firstLineChars="200" w:firstLine="480"/>
        <w:rPr>
          <w:rFonts w:ascii="宋体" w:hAnsi="宋体"/>
          <w:bCs/>
          <w:sz w:val="24"/>
        </w:rPr>
      </w:pPr>
      <w:r>
        <w:rPr>
          <w:rFonts w:ascii="宋体" w:hAnsi="宋体" w:hint="eastAsia"/>
          <w:bCs/>
          <w:sz w:val="24"/>
        </w:rPr>
        <w:t>当计算机、通讯系统、交易网络等技术保障系统或信息网络支持出现异常情况，可能导致基金日常的申购赎回无法按正常时限完成、注册登记系统瘫痪、核算系统无法按正常时限显示产生净值、基金的投资交易指令无法及时传输等风险。</w:t>
      </w:r>
    </w:p>
    <w:p w14:paraId="7DB63E39" w14:textId="77777777" w:rsidR="00DD2567" w:rsidRDefault="00680E4C">
      <w:pPr>
        <w:spacing w:line="360" w:lineRule="auto"/>
        <w:ind w:firstLineChars="200" w:firstLine="480"/>
        <w:rPr>
          <w:rFonts w:ascii="宋体" w:hAnsi="宋体"/>
          <w:bCs/>
          <w:sz w:val="24"/>
        </w:rPr>
      </w:pPr>
      <w:r>
        <w:rPr>
          <w:rFonts w:ascii="宋体" w:hAnsi="宋体" w:hint="eastAsia"/>
          <w:bCs/>
          <w:sz w:val="24"/>
        </w:rPr>
        <w:t>（2）合规性风险</w:t>
      </w:r>
    </w:p>
    <w:p w14:paraId="537E11CF" w14:textId="77777777" w:rsidR="00DD2567" w:rsidRDefault="00680E4C">
      <w:pPr>
        <w:spacing w:line="360" w:lineRule="auto"/>
        <w:ind w:firstLineChars="200" w:firstLine="480"/>
        <w:rPr>
          <w:rFonts w:ascii="宋体" w:hAnsi="宋体"/>
          <w:bCs/>
          <w:sz w:val="24"/>
        </w:rPr>
      </w:pPr>
      <w:r>
        <w:rPr>
          <w:rFonts w:ascii="宋体" w:hAnsi="宋体" w:hint="eastAsia"/>
          <w:bCs/>
          <w:sz w:val="24"/>
        </w:rPr>
        <w:t>指基金管理或运作过程中，违反国家法律、法规的规定，或者基金投资违反法规及基金合同有关规定的风险。</w:t>
      </w:r>
    </w:p>
    <w:p w14:paraId="267E0AD7" w14:textId="77777777" w:rsidR="00DD2567" w:rsidRDefault="00680E4C">
      <w:pPr>
        <w:spacing w:line="360" w:lineRule="auto"/>
        <w:ind w:firstLineChars="200" w:firstLine="480"/>
        <w:rPr>
          <w:rFonts w:ascii="宋体" w:hAnsi="宋体"/>
          <w:bCs/>
          <w:sz w:val="24"/>
        </w:rPr>
      </w:pPr>
      <w:r>
        <w:rPr>
          <w:rFonts w:ascii="宋体" w:hAnsi="宋体" w:hint="eastAsia"/>
          <w:bCs/>
          <w:sz w:val="24"/>
        </w:rPr>
        <w:t>（3）人才流失风险</w:t>
      </w:r>
    </w:p>
    <w:p w14:paraId="4C72AF60" w14:textId="77777777" w:rsidR="00DD2567" w:rsidRDefault="00680E4C">
      <w:pPr>
        <w:spacing w:line="360" w:lineRule="auto"/>
        <w:ind w:firstLineChars="200" w:firstLine="480"/>
        <w:rPr>
          <w:rFonts w:ascii="宋体" w:hAnsi="宋体"/>
          <w:bCs/>
          <w:sz w:val="24"/>
        </w:rPr>
      </w:pPr>
      <w:r>
        <w:rPr>
          <w:rFonts w:ascii="宋体" w:hAnsi="宋体" w:hint="eastAsia"/>
          <w:bCs/>
          <w:sz w:val="24"/>
        </w:rPr>
        <w:t>公司主要业务人员的离职等可能会在一定程度上影响工作的连续性，并可能对基金运作产生影响。</w:t>
      </w:r>
    </w:p>
    <w:p w14:paraId="66BEC479" w14:textId="77777777" w:rsidR="00DD2567" w:rsidRDefault="00680E4C">
      <w:pPr>
        <w:spacing w:line="360" w:lineRule="auto"/>
        <w:ind w:firstLineChars="200" w:firstLine="480"/>
        <w:rPr>
          <w:rFonts w:ascii="宋体" w:hAnsi="宋体"/>
          <w:bCs/>
          <w:sz w:val="24"/>
        </w:rPr>
      </w:pPr>
      <w:r>
        <w:rPr>
          <w:rFonts w:ascii="宋体" w:hAnsi="宋体" w:hint="eastAsia"/>
          <w:bCs/>
          <w:sz w:val="24"/>
        </w:rPr>
        <w:t>（4）大额申购/赎回风险</w:t>
      </w:r>
    </w:p>
    <w:p w14:paraId="3F84448D"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是开放式基金，基金规模将随着基金投资者对基金单位的申购与赎回而不断变化，若是由于基金投资者的连续大量申购而导致基金管理人在短期内被迫持有大量现金；或由于基金投资者的连续大量赎回而导致基金管理人被迫抛售所持有的证券以应付基金赎回的现金需要，则可能使基金资产净值受到不利影响。</w:t>
      </w:r>
    </w:p>
    <w:p w14:paraId="5046B2F5" w14:textId="77777777" w:rsidR="00DD2567" w:rsidRDefault="00680E4C">
      <w:pPr>
        <w:spacing w:line="360" w:lineRule="auto"/>
        <w:ind w:firstLineChars="200" w:firstLine="480"/>
        <w:rPr>
          <w:rFonts w:ascii="宋体" w:hAnsi="宋体"/>
          <w:bCs/>
          <w:sz w:val="24"/>
        </w:rPr>
      </w:pPr>
      <w:r>
        <w:rPr>
          <w:rFonts w:ascii="宋体" w:hAnsi="宋体" w:hint="eastAsia"/>
          <w:bCs/>
          <w:sz w:val="24"/>
        </w:rPr>
        <w:t>（5）顺延或暂停赎回风险</w:t>
      </w:r>
    </w:p>
    <w:p w14:paraId="434C43C2" w14:textId="77777777" w:rsidR="00DD2567" w:rsidRDefault="00680E4C">
      <w:pPr>
        <w:spacing w:line="360" w:lineRule="auto"/>
        <w:ind w:firstLineChars="200" w:firstLine="480"/>
        <w:rPr>
          <w:rFonts w:ascii="宋体" w:hAnsi="宋体"/>
          <w:bCs/>
          <w:sz w:val="24"/>
        </w:rPr>
      </w:pPr>
      <w:r>
        <w:rPr>
          <w:rFonts w:ascii="宋体" w:hAnsi="宋体" w:hint="eastAsia"/>
          <w:bCs/>
          <w:sz w:val="24"/>
        </w:rPr>
        <w:lastRenderedPageBreak/>
        <w:t>因为市场剧烈波动或其他原因而连续出现巨额赎回，并导致基金管理人的现金支付出现困难，基金投资者在赎回基金单位时，可能会遇到部分顺延赎回或暂停赎回等风险。</w:t>
      </w:r>
    </w:p>
    <w:p w14:paraId="5FD052C0" w14:textId="77777777" w:rsidR="00DD2567" w:rsidRDefault="00680E4C">
      <w:pPr>
        <w:spacing w:line="360" w:lineRule="auto"/>
        <w:ind w:firstLineChars="200" w:firstLine="480"/>
        <w:rPr>
          <w:rFonts w:ascii="宋体" w:hAnsi="宋体"/>
          <w:bCs/>
          <w:sz w:val="24"/>
        </w:rPr>
      </w:pPr>
      <w:r>
        <w:rPr>
          <w:rFonts w:ascii="宋体" w:hAnsi="宋体" w:hint="eastAsia"/>
          <w:bCs/>
          <w:sz w:val="24"/>
        </w:rPr>
        <w:t>（6）其他风险</w:t>
      </w:r>
    </w:p>
    <w:p w14:paraId="56037175" w14:textId="77777777" w:rsidR="00DD2567" w:rsidRDefault="00680E4C">
      <w:pPr>
        <w:spacing w:line="360" w:lineRule="auto"/>
        <w:ind w:firstLineChars="200" w:firstLine="480"/>
        <w:rPr>
          <w:rFonts w:ascii="宋体" w:hAnsi="宋体"/>
          <w:bCs/>
          <w:sz w:val="24"/>
        </w:rPr>
      </w:pPr>
      <w:r>
        <w:rPr>
          <w:rFonts w:ascii="宋体" w:hAnsi="宋体" w:hint="eastAsia"/>
          <w:bCs/>
          <w:sz w:val="24"/>
        </w:rPr>
        <w:t>战争、自然灾害等不可抗力可能导致基金资产有遭受损失的风险，以及证券市场、基金管理人及基金代销机构可能因不可抗力无法正常工作，从而产生影响基金的申购和赎回按正常时限完成的风险。</w:t>
      </w:r>
    </w:p>
    <w:p w14:paraId="5D2469F2" w14:textId="77777777" w:rsidR="00DD2567" w:rsidRDefault="00680E4C">
      <w:pPr>
        <w:spacing w:line="360" w:lineRule="auto"/>
        <w:ind w:firstLineChars="200" w:firstLine="480"/>
        <w:rPr>
          <w:rFonts w:ascii="宋体" w:hAnsi="宋体"/>
          <w:bCs/>
          <w:sz w:val="24"/>
        </w:rPr>
      </w:pPr>
      <w:r>
        <w:rPr>
          <w:rFonts w:ascii="宋体" w:hAnsi="宋体" w:hint="eastAsia"/>
          <w:bCs/>
          <w:sz w:val="24"/>
        </w:rPr>
        <w:t>二、声明</w:t>
      </w:r>
    </w:p>
    <w:p w14:paraId="59015DF3" w14:textId="40914A5A" w:rsidR="00DD2567" w:rsidRDefault="00680E4C">
      <w:pPr>
        <w:spacing w:line="360" w:lineRule="auto"/>
        <w:ind w:firstLineChars="200" w:firstLine="480"/>
        <w:rPr>
          <w:rFonts w:ascii="宋体" w:hAnsi="宋体"/>
          <w:bCs/>
          <w:sz w:val="24"/>
        </w:rPr>
      </w:pPr>
      <w:r>
        <w:rPr>
          <w:rFonts w:ascii="宋体" w:hAnsi="宋体"/>
          <w:bCs/>
          <w:sz w:val="24"/>
        </w:rPr>
        <w:t>本基金由基金管理人依照《基金法》、</w:t>
      </w:r>
      <w:r w:rsidR="0085123B">
        <w:rPr>
          <w:rFonts w:ascii="宋体" w:hAnsi="宋体"/>
          <w:bCs/>
          <w:sz w:val="24"/>
        </w:rPr>
        <w:t>基金合同</w:t>
      </w:r>
      <w:r>
        <w:rPr>
          <w:rFonts w:ascii="宋体" w:hAnsi="宋体"/>
          <w:bCs/>
          <w:sz w:val="24"/>
        </w:rPr>
        <w:t>和其他有关法律法规规定募集，并经中国证监会注册。中国证监会对本基金募集的注册，并不表明其对本基金的</w:t>
      </w:r>
      <w:r>
        <w:rPr>
          <w:rFonts w:ascii="宋体" w:hAnsi="宋体" w:hint="eastAsia"/>
          <w:bCs/>
          <w:sz w:val="24"/>
        </w:rPr>
        <w:t>投资</w:t>
      </w:r>
      <w:r>
        <w:rPr>
          <w:rFonts w:ascii="宋体" w:hAnsi="宋体"/>
          <w:bCs/>
          <w:sz w:val="24"/>
        </w:rPr>
        <w:t>价值</w:t>
      </w:r>
      <w:r>
        <w:rPr>
          <w:rFonts w:ascii="宋体" w:hAnsi="宋体" w:hint="eastAsia"/>
          <w:bCs/>
          <w:sz w:val="24"/>
        </w:rPr>
        <w:t>、</w:t>
      </w:r>
      <w:r>
        <w:rPr>
          <w:rFonts w:ascii="宋体" w:hAnsi="宋体"/>
          <w:bCs/>
          <w:sz w:val="24"/>
        </w:rPr>
        <w:t>收益</w:t>
      </w:r>
      <w:r>
        <w:rPr>
          <w:rFonts w:ascii="宋体" w:hAnsi="宋体" w:hint="eastAsia"/>
          <w:bCs/>
          <w:sz w:val="24"/>
        </w:rPr>
        <w:t>和市场风险</w:t>
      </w:r>
      <w:r>
        <w:rPr>
          <w:rFonts w:ascii="宋体" w:hAnsi="宋体"/>
          <w:bCs/>
          <w:sz w:val="24"/>
        </w:rPr>
        <w:t>做出实质性判断或保证，也不表明投资于本基金没有风险。</w:t>
      </w:r>
    </w:p>
    <w:p w14:paraId="247E28D8" w14:textId="77777777" w:rsidR="00DD2567" w:rsidRDefault="00680E4C">
      <w:pPr>
        <w:spacing w:line="360" w:lineRule="auto"/>
        <w:ind w:firstLineChars="200" w:firstLine="480"/>
        <w:rPr>
          <w:rFonts w:ascii="宋体" w:hAnsi="宋体"/>
          <w:bCs/>
          <w:sz w:val="24"/>
        </w:rPr>
      </w:pPr>
      <w:r>
        <w:rPr>
          <w:rFonts w:ascii="宋体" w:hAnsi="宋体"/>
          <w:bCs/>
          <w:sz w:val="24"/>
        </w:rPr>
        <w:t>本基金投资于证券市场，基金份额净值会因为证券市场波动等因素产生波动，基金投资者在投资本基金前，需充分了解本基金的产品特性，并承担基金投资中出现的各类风险，包括：因政治、经济、社会等环境因素对证券价格产生影响而形成的系统性风险</w:t>
      </w:r>
      <w:r>
        <w:rPr>
          <w:rFonts w:ascii="宋体" w:hAnsi="宋体" w:hint="eastAsia"/>
          <w:bCs/>
          <w:sz w:val="24"/>
        </w:rPr>
        <w:t>；</w:t>
      </w:r>
      <w:r>
        <w:rPr>
          <w:rFonts w:ascii="宋体" w:hAnsi="宋体"/>
          <w:bCs/>
          <w:sz w:val="24"/>
        </w:rPr>
        <w:t>个别证券特有的非系统性风险</w:t>
      </w:r>
      <w:r>
        <w:rPr>
          <w:rFonts w:ascii="宋体" w:hAnsi="宋体" w:hint="eastAsia"/>
          <w:bCs/>
          <w:sz w:val="24"/>
        </w:rPr>
        <w:t>；</w:t>
      </w:r>
      <w:r>
        <w:rPr>
          <w:rFonts w:ascii="宋体" w:hAnsi="宋体"/>
          <w:bCs/>
          <w:sz w:val="24"/>
        </w:rPr>
        <w:t>基金管理人在基金管理实施过程中产生的基金管理风险</w:t>
      </w:r>
      <w:r>
        <w:rPr>
          <w:rFonts w:ascii="宋体" w:hAnsi="宋体" w:hint="eastAsia"/>
          <w:bCs/>
          <w:sz w:val="24"/>
        </w:rPr>
        <w:t>；</w:t>
      </w:r>
      <w:r>
        <w:rPr>
          <w:rFonts w:ascii="宋体" w:hAnsi="宋体" w:hint="eastAsia"/>
          <w:sz w:val="24"/>
        </w:rPr>
        <w:t>估值风险；</w:t>
      </w:r>
      <w:r>
        <w:rPr>
          <w:rFonts w:ascii="宋体" w:hAnsi="宋体"/>
          <w:bCs/>
          <w:sz w:val="24"/>
        </w:rPr>
        <w:t>由于基金投资者连续大量赎回基金产生的流动性风险</w:t>
      </w:r>
      <w:r>
        <w:rPr>
          <w:rFonts w:ascii="宋体" w:hAnsi="宋体" w:hint="eastAsia"/>
          <w:bCs/>
          <w:sz w:val="24"/>
        </w:rPr>
        <w:t>；</w:t>
      </w:r>
      <w:r>
        <w:rPr>
          <w:rFonts w:ascii="宋体" w:hAnsi="宋体"/>
          <w:bCs/>
          <w:sz w:val="24"/>
        </w:rPr>
        <w:t>本基金的特定风险等等。基金投资者在进行投资决策前，请仔细阅读本基金的招募说明书及基金合同。</w:t>
      </w:r>
    </w:p>
    <w:p w14:paraId="16F199B9" w14:textId="77777777" w:rsidR="00DD2567" w:rsidRDefault="00680E4C">
      <w:pPr>
        <w:spacing w:line="360" w:lineRule="auto"/>
        <w:ind w:firstLineChars="200" w:firstLine="480"/>
        <w:rPr>
          <w:rFonts w:ascii="宋体" w:hAnsi="宋体"/>
          <w:bCs/>
          <w:sz w:val="24"/>
        </w:rPr>
      </w:pPr>
      <w:r>
        <w:rPr>
          <w:rFonts w:ascii="宋体" w:hAnsi="宋体"/>
          <w:bCs/>
          <w:sz w:val="24"/>
        </w:rPr>
        <w:t>基金管理人建议基金投资者根据自身的风险收益偏好，选择适合自己的基金产品，并且中长期持有。</w:t>
      </w:r>
    </w:p>
    <w:p w14:paraId="4DA30AF9" w14:textId="77777777" w:rsidR="00DD2567" w:rsidRDefault="00680E4C">
      <w:pPr>
        <w:spacing w:line="360" w:lineRule="auto"/>
        <w:ind w:firstLineChars="200" w:firstLine="480"/>
        <w:rPr>
          <w:rFonts w:ascii="宋体" w:hAnsi="宋体"/>
          <w:bCs/>
          <w:sz w:val="24"/>
        </w:rPr>
      </w:pPr>
      <w:r>
        <w:rPr>
          <w:rFonts w:ascii="宋体" w:hAnsi="宋体" w:hint="eastAsia"/>
          <w:bCs/>
          <w:sz w:val="24"/>
        </w:rPr>
        <w:t>本基金未经任何一级政府、机构及部门担保。基金投资者自愿投资于本基金，须自行承担投资风险。</w:t>
      </w:r>
    </w:p>
    <w:p w14:paraId="02E8D837" w14:textId="77777777" w:rsidR="00DD2567" w:rsidRDefault="00680E4C">
      <w:pPr>
        <w:spacing w:line="360" w:lineRule="auto"/>
        <w:ind w:firstLineChars="200" w:firstLine="480"/>
        <w:rPr>
          <w:rFonts w:ascii="宋体" w:hAnsi="宋体"/>
          <w:bCs/>
          <w:sz w:val="24"/>
        </w:rPr>
      </w:pPr>
      <w:r>
        <w:rPr>
          <w:rFonts w:ascii="宋体" w:hAnsi="宋体" w:hint="eastAsia"/>
          <w:bCs/>
          <w:sz w:val="24"/>
        </w:rPr>
        <w:t>除基金管理人直接办理本基金的销售外，本基金还通过基金销售机构代理销售，但是，基金资产并不是销售机构的存款或负债，也没有经基金销售机构担保收益，销售机构并不能保证其收益或本金安全。</w:t>
      </w:r>
    </w:p>
    <w:p w14:paraId="39BB5CB8" w14:textId="20DE4340" w:rsidR="00DD2567" w:rsidRDefault="00680E4C">
      <w:pPr>
        <w:pStyle w:val="1"/>
        <w:spacing w:before="0" w:after="0"/>
        <w:jc w:val="center"/>
        <w:rPr>
          <w:rFonts w:hAnsi="宋体"/>
          <w:sz w:val="30"/>
        </w:rPr>
      </w:pPr>
      <w:r>
        <w:rPr>
          <w:b w:val="0"/>
          <w:bCs/>
          <w:kern w:val="44"/>
        </w:rPr>
        <w:br w:type="page"/>
      </w:r>
      <w:bookmarkStart w:id="300" w:name="_Toc28961"/>
      <w:bookmarkStart w:id="301" w:name="_Toc92662708"/>
      <w:bookmarkStart w:id="302" w:name="_Toc342469906"/>
      <w:bookmarkStart w:id="303" w:name="_Toc128310500"/>
      <w:bookmarkStart w:id="304" w:name="_Toc141703897"/>
      <w:bookmarkStart w:id="305" w:name="_Toc139991747"/>
      <w:bookmarkStart w:id="306" w:name="_Toc1043"/>
      <w:bookmarkStart w:id="307" w:name="_Toc29695"/>
      <w:bookmarkStart w:id="308" w:name="_Toc23859"/>
      <w:bookmarkStart w:id="309" w:name="_Toc10894"/>
      <w:bookmarkStart w:id="310" w:name="_Toc18007"/>
      <w:bookmarkStart w:id="311" w:name="_Toc31736"/>
      <w:bookmarkStart w:id="312" w:name="_Toc21206"/>
      <w:bookmarkStart w:id="313" w:name="_Toc93226150"/>
      <w:bookmarkStart w:id="314" w:name="_Toc13255"/>
      <w:bookmarkStart w:id="315" w:name="_Toc17499"/>
      <w:r>
        <w:rPr>
          <w:rFonts w:hAnsi="宋体"/>
          <w:color w:val="auto"/>
          <w:sz w:val="30"/>
        </w:rPr>
        <w:lastRenderedPageBreak/>
        <w:t>第十七部分 基金合同的变更、终止与基金财产的清算</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p>
    <w:p w14:paraId="63E0D529" w14:textId="77777777" w:rsidR="00DD2567" w:rsidRDefault="00DD2567">
      <w:pPr>
        <w:spacing w:line="360" w:lineRule="auto"/>
        <w:ind w:firstLineChars="200" w:firstLine="480"/>
        <w:rPr>
          <w:bCs/>
          <w:sz w:val="24"/>
        </w:rPr>
      </w:pPr>
    </w:p>
    <w:p w14:paraId="435E8054" w14:textId="77777777" w:rsidR="00DD2567" w:rsidRDefault="00680E4C">
      <w:pPr>
        <w:spacing w:line="360" w:lineRule="auto"/>
        <w:ind w:firstLineChars="200" w:firstLine="480"/>
        <w:rPr>
          <w:rFonts w:ascii="宋体" w:hAnsi="宋体"/>
          <w:bCs/>
          <w:sz w:val="24"/>
        </w:rPr>
      </w:pPr>
      <w:bookmarkStart w:id="316" w:name="_Toc79392639"/>
      <w:r>
        <w:rPr>
          <w:rFonts w:ascii="宋体" w:hAnsi="宋体"/>
          <w:bCs/>
          <w:sz w:val="24"/>
        </w:rPr>
        <w:t>一、《基金合同》的变更</w:t>
      </w:r>
      <w:bookmarkEnd w:id="316"/>
    </w:p>
    <w:p w14:paraId="1B6DE8B7" w14:textId="77777777" w:rsidR="00DD2567" w:rsidRDefault="00680E4C">
      <w:pPr>
        <w:autoSpaceDE w:val="0"/>
        <w:autoSpaceDN w:val="0"/>
        <w:adjustRightInd w:val="0"/>
        <w:spacing w:line="360" w:lineRule="auto"/>
        <w:ind w:firstLineChars="200" w:firstLine="480"/>
        <w:jc w:val="left"/>
        <w:rPr>
          <w:rFonts w:ascii="宋体" w:hAnsi="宋体"/>
          <w:bCs/>
          <w:sz w:val="24"/>
        </w:rPr>
      </w:pPr>
      <w:r>
        <w:rPr>
          <w:rFonts w:ascii="宋体" w:hAnsi="宋体"/>
          <w:bCs/>
          <w:sz w:val="24"/>
        </w:rPr>
        <w:t>1、变更基金合同</w:t>
      </w:r>
      <w:r>
        <w:rPr>
          <w:rFonts w:ascii="宋体" w:hAnsi="宋体" w:hint="eastAsia"/>
          <w:bCs/>
          <w:sz w:val="24"/>
        </w:rPr>
        <w:t>涉及</w:t>
      </w:r>
      <w:r>
        <w:rPr>
          <w:rFonts w:ascii="宋体" w:hAnsi="宋体"/>
          <w:bCs/>
          <w:sz w:val="24"/>
        </w:rPr>
        <w:t>法律法规规定或</w:t>
      </w:r>
      <w:r>
        <w:rPr>
          <w:rFonts w:ascii="宋体" w:hAnsi="宋体" w:hint="eastAsia"/>
          <w:bCs/>
          <w:sz w:val="24"/>
        </w:rPr>
        <w:t>基金</w:t>
      </w:r>
      <w:r>
        <w:rPr>
          <w:rFonts w:ascii="宋体" w:hAnsi="宋体"/>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28571EB" w14:textId="77777777" w:rsidR="00DD2567" w:rsidRDefault="00680E4C">
      <w:pPr>
        <w:spacing w:line="360" w:lineRule="auto"/>
        <w:ind w:firstLineChars="200" w:firstLine="480"/>
        <w:rPr>
          <w:rFonts w:ascii="宋体" w:hAnsi="宋体"/>
          <w:bCs/>
          <w:sz w:val="24"/>
        </w:rPr>
      </w:pPr>
      <w:r>
        <w:rPr>
          <w:rFonts w:ascii="宋体" w:hAnsi="宋体"/>
          <w:bCs/>
          <w:sz w:val="24"/>
        </w:rPr>
        <w:t>2、关于《基金合同》变更的基金份额持有人大会决议</w:t>
      </w:r>
      <w:r>
        <w:rPr>
          <w:rFonts w:ascii="宋体" w:hAnsi="宋体" w:hint="eastAsia"/>
          <w:bCs/>
          <w:sz w:val="24"/>
        </w:rPr>
        <w:t>自生效后方可执行，并自决议生效后两日内</w:t>
      </w:r>
      <w:r>
        <w:rPr>
          <w:rFonts w:ascii="宋体" w:hAnsi="宋体"/>
          <w:bCs/>
          <w:sz w:val="24"/>
        </w:rPr>
        <w:t>在</w:t>
      </w:r>
      <w:r>
        <w:rPr>
          <w:rFonts w:ascii="宋体" w:hAnsi="宋体" w:hint="eastAsia"/>
          <w:bCs/>
          <w:sz w:val="24"/>
        </w:rPr>
        <w:t>指定媒介</w:t>
      </w:r>
      <w:r>
        <w:rPr>
          <w:rFonts w:ascii="宋体" w:hAnsi="宋体"/>
          <w:bCs/>
          <w:sz w:val="24"/>
        </w:rPr>
        <w:t>公告。</w:t>
      </w:r>
    </w:p>
    <w:p w14:paraId="3470427A" w14:textId="77777777" w:rsidR="00DD2567" w:rsidRDefault="00680E4C">
      <w:pPr>
        <w:autoSpaceDE w:val="0"/>
        <w:autoSpaceDN w:val="0"/>
        <w:adjustRightInd w:val="0"/>
        <w:spacing w:line="360" w:lineRule="auto"/>
        <w:ind w:firstLineChars="200" w:firstLine="480"/>
        <w:jc w:val="left"/>
        <w:rPr>
          <w:rFonts w:ascii="宋体"/>
          <w:sz w:val="24"/>
        </w:rPr>
      </w:pPr>
      <w:r>
        <w:rPr>
          <w:rFonts w:ascii="宋体" w:hint="eastAsia"/>
          <w:sz w:val="24"/>
        </w:rPr>
        <w:t>二、</w:t>
      </w:r>
      <w:r>
        <w:rPr>
          <w:rFonts w:ascii="宋体" w:hint="eastAsia"/>
          <w:bCs/>
          <w:sz w:val="24"/>
        </w:rPr>
        <w:t>基金</w:t>
      </w:r>
      <w:r>
        <w:rPr>
          <w:rFonts w:ascii="宋体" w:hint="eastAsia"/>
          <w:sz w:val="24"/>
        </w:rPr>
        <w:t>转换运作方式或者与其他基金合并</w:t>
      </w:r>
    </w:p>
    <w:p w14:paraId="51B310B2" w14:textId="77777777" w:rsidR="00DD2567" w:rsidRDefault="00680E4C">
      <w:pPr>
        <w:autoSpaceDE w:val="0"/>
        <w:autoSpaceDN w:val="0"/>
        <w:adjustRightInd w:val="0"/>
        <w:spacing w:line="360" w:lineRule="auto"/>
        <w:ind w:firstLineChars="200" w:firstLine="480"/>
        <w:jc w:val="left"/>
        <w:rPr>
          <w:rFonts w:ascii="宋体"/>
          <w:sz w:val="24"/>
        </w:rPr>
      </w:pPr>
      <w:r>
        <w:rPr>
          <w:rFonts w:ascii="宋体" w:hint="eastAsia"/>
          <w:sz w:val="24"/>
        </w:rPr>
        <w:t>基金转换运作方式或者与其他基金合并，应当按照法律法规及</w:t>
      </w:r>
      <w:r>
        <w:rPr>
          <w:rFonts w:ascii="宋体" w:hint="eastAsia"/>
          <w:bCs/>
          <w:sz w:val="24"/>
        </w:rPr>
        <w:t>基金</w:t>
      </w:r>
      <w:r>
        <w:rPr>
          <w:rFonts w:ascii="宋体" w:hint="eastAsia"/>
          <w:sz w:val="24"/>
        </w:rPr>
        <w:t>合同规定的程序进行。实施方案若未在</w:t>
      </w:r>
      <w:r>
        <w:rPr>
          <w:rFonts w:ascii="宋体" w:hint="eastAsia"/>
          <w:bCs/>
          <w:sz w:val="24"/>
        </w:rPr>
        <w:t>基金</w:t>
      </w:r>
      <w:r>
        <w:rPr>
          <w:rFonts w:ascii="宋体" w:hint="eastAsia"/>
          <w:sz w:val="24"/>
        </w:rPr>
        <w:t>合同中明确约定，应当经基金份额持有人大会审议通过。基金管理人应当提前发布提示性通知，明确有关实施安排，说明对现有</w:t>
      </w:r>
      <w:r>
        <w:rPr>
          <w:rFonts w:ascii="宋体" w:hint="eastAsia"/>
          <w:bCs/>
          <w:sz w:val="24"/>
        </w:rPr>
        <w:t>基金份额持有人的</w:t>
      </w:r>
      <w:r>
        <w:rPr>
          <w:rFonts w:ascii="宋体" w:hint="eastAsia"/>
          <w:sz w:val="24"/>
        </w:rPr>
        <w:t>影响以及</w:t>
      </w:r>
      <w:r>
        <w:rPr>
          <w:rFonts w:ascii="宋体" w:hint="eastAsia"/>
          <w:bCs/>
          <w:sz w:val="24"/>
        </w:rPr>
        <w:t>基金份额</w:t>
      </w:r>
      <w:r>
        <w:rPr>
          <w:rFonts w:ascii="宋体" w:hint="eastAsia"/>
          <w:sz w:val="24"/>
        </w:rPr>
        <w:t>持有人享有的选择权</w:t>
      </w:r>
      <w:r>
        <w:rPr>
          <w:rFonts w:ascii="宋体" w:hint="eastAsia"/>
          <w:bCs/>
          <w:sz w:val="24"/>
        </w:rPr>
        <w:t>，</w:t>
      </w:r>
      <w:r>
        <w:rPr>
          <w:rFonts w:ascii="宋体" w:hint="eastAsia"/>
          <w:sz w:val="24"/>
        </w:rPr>
        <w:t>并在实施前预留至少二十个开放日或者交易日供</w:t>
      </w:r>
      <w:r>
        <w:rPr>
          <w:rFonts w:ascii="宋体" w:hint="eastAsia"/>
          <w:bCs/>
          <w:sz w:val="24"/>
        </w:rPr>
        <w:t>基金</w:t>
      </w:r>
      <w:r>
        <w:rPr>
          <w:rFonts w:ascii="宋体" w:hint="eastAsia"/>
          <w:sz w:val="24"/>
        </w:rPr>
        <w:t>持有人做出选择。</w:t>
      </w:r>
    </w:p>
    <w:p w14:paraId="5D94565A" w14:textId="77777777" w:rsidR="00DD2567" w:rsidRDefault="00680E4C">
      <w:pPr>
        <w:spacing w:line="360" w:lineRule="auto"/>
        <w:ind w:firstLineChars="200" w:firstLine="480"/>
        <w:rPr>
          <w:rFonts w:ascii="宋体" w:hAnsi="宋体"/>
          <w:bCs/>
          <w:sz w:val="24"/>
        </w:rPr>
      </w:pPr>
      <w:r>
        <w:rPr>
          <w:rFonts w:ascii="宋体" w:hint="eastAsia"/>
          <w:bCs/>
          <w:sz w:val="24"/>
        </w:rPr>
        <w:t>三</w:t>
      </w:r>
      <w:r>
        <w:rPr>
          <w:rFonts w:ascii="宋体" w:hAnsi="宋体"/>
          <w:bCs/>
          <w:sz w:val="24"/>
        </w:rPr>
        <w:t>、《基金合同》的终止事由</w:t>
      </w:r>
    </w:p>
    <w:p w14:paraId="1EC1A4CC" w14:textId="77777777" w:rsidR="00DD2567" w:rsidRDefault="00680E4C">
      <w:pPr>
        <w:spacing w:line="360" w:lineRule="auto"/>
        <w:ind w:firstLineChars="200" w:firstLine="480"/>
        <w:rPr>
          <w:rFonts w:ascii="宋体" w:hAnsi="宋体"/>
          <w:bCs/>
          <w:sz w:val="24"/>
        </w:rPr>
      </w:pPr>
      <w:r>
        <w:rPr>
          <w:rFonts w:ascii="宋体" w:hAnsi="宋体"/>
          <w:bCs/>
          <w:sz w:val="24"/>
        </w:rPr>
        <w:t>有下列情形之一的，《基金合同》应当终止：</w:t>
      </w:r>
    </w:p>
    <w:p w14:paraId="05DBE162" w14:textId="77777777" w:rsidR="00DD2567" w:rsidRDefault="00680E4C">
      <w:pPr>
        <w:spacing w:line="360" w:lineRule="auto"/>
        <w:ind w:firstLineChars="200" w:firstLine="480"/>
        <w:rPr>
          <w:rFonts w:ascii="宋体" w:hAnsi="宋体"/>
          <w:bCs/>
          <w:sz w:val="24"/>
        </w:rPr>
      </w:pPr>
      <w:r>
        <w:rPr>
          <w:rFonts w:ascii="宋体" w:hAnsi="宋体"/>
          <w:bCs/>
          <w:sz w:val="24"/>
        </w:rPr>
        <w:t>1、基金份额持有人大会决定终止的；</w:t>
      </w:r>
    </w:p>
    <w:p w14:paraId="5F6213B6" w14:textId="77777777" w:rsidR="00DD2567" w:rsidRDefault="00680E4C">
      <w:pPr>
        <w:spacing w:line="360" w:lineRule="auto"/>
        <w:ind w:firstLineChars="200" w:firstLine="480"/>
        <w:rPr>
          <w:rFonts w:ascii="宋体" w:hAnsi="宋体"/>
          <w:bCs/>
          <w:sz w:val="24"/>
        </w:rPr>
      </w:pPr>
      <w:r>
        <w:rPr>
          <w:rFonts w:ascii="宋体" w:hAnsi="宋体"/>
          <w:bCs/>
          <w:sz w:val="24"/>
        </w:rPr>
        <w:t>2、基金管理人、基金托管人职责终止，在6个月内没有新基金管理人、新基金托管人承接的；</w:t>
      </w:r>
    </w:p>
    <w:p w14:paraId="509B2647" w14:textId="77777777" w:rsidR="00DD2567" w:rsidRDefault="00680E4C">
      <w:pPr>
        <w:spacing w:line="360" w:lineRule="auto"/>
        <w:ind w:firstLineChars="200" w:firstLine="480"/>
        <w:rPr>
          <w:rFonts w:ascii="宋体" w:hAnsi="宋体"/>
          <w:bCs/>
          <w:sz w:val="24"/>
        </w:rPr>
      </w:pPr>
      <w:r>
        <w:rPr>
          <w:rFonts w:ascii="宋体" w:hAnsi="宋体"/>
          <w:bCs/>
          <w:sz w:val="24"/>
        </w:rPr>
        <w:t>3、《基金合同》约定的其他情形；</w:t>
      </w:r>
    </w:p>
    <w:p w14:paraId="6B18409D" w14:textId="77777777" w:rsidR="00DD2567" w:rsidRDefault="00680E4C">
      <w:pPr>
        <w:spacing w:line="360" w:lineRule="auto"/>
        <w:ind w:firstLineChars="200" w:firstLine="480"/>
        <w:rPr>
          <w:rFonts w:ascii="宋体" w:hAnsi="宋体"/>
          <w:bCs/>
          <w:sz w:val="24"/>
        </w:rPr>
      </w:pPr>
      <w:r>
        <w:rPr>
          <w:rFonts w:ascii="宋体" w:hAnsi="宋体"/>
          <w:bCs/>
          <w:sz w:val="24"/>
        </w:rPr>
        <w:t>4、相关法律法规和中国证监会规定的其他情况。</w:t>
      </w:r>
    </w:p>
    <w:p w14:paraId="1C73CA89" w14:textId="77777777" w:rsidR="00DD2567" w:rsidRDefault="00680E4C">
      <w:pPr>
        <w:spacing w:line="360" w:lineRule="auto"/>
        <w:ind w:firstLineChars="200" w:firstLine="480"/>
        <w:rPr>
          <w:rFonts w:ascii="宋体" w:hAnsi="宋体"/>
          <w:bCs/>
          <w:sz w:val="24"/>
        </w:rPr>
      </w:pPr>
      <w:r>
        <w:rPr>
          <w:rFonts w:ascii="宋体" w:hAnsi="宋体" w:hint="eastAsia"/>
          <w:bCs/>
          <w:sz w:val="24"/>
        </w:rPr>
        <w:t>四</w:t>
      </w:r>
      <w:r>
        <w:rPr>
          <w:rFonts w:ascii="宋体" w:hAnsi="宋体"/>
          <w:bCs/>
          <w:sz w:val="24"/>
        </w:rPr>
        <w:t>、基金财产的清算</w:t>
      </w:r>
    </w:p>
    <w:p w14:paraId="212DBB38" w14:textId="77777777" w:rsidR="00DD2567" w:rsidRDefault="00680E4C">
      <w:pPr>
        <w:spacing w:line="360" w:lineRule="auto"/>
        <w:ind w:firstLineChars="200" w:firstLine="480"/>
        <w:rPr>
          <w:rFonts w:ascii="宋体" w:hAnsi="宋体"/>
          <w:bCs/>
          <w:sz w:val="24"/>
        </w:rPr>
      </w:pPr>
      <w:r>
        <w:rPr>
          <w:rFonts w:ascii="宋体" w:hAnsi="宋体"/>
          <w:bCs/>
          <w:sz w:val="24"/>
        </w:rPr>
        <w:t>1、基金财产清算小组：自出现《基金合同》终止事由之日起30个工作日内成立清算小组，基金管理人组织基金财产清算小组并在中国证监会的监督下进行基金清算。</w:t>
      </w:r>
    </w:p>
    <w:p w14:paraId="727417D3" w14:textId="77777777" w:rsidR="00DD2567" w:rsidRDefault="00680E4C">
      <w:pPr>
        <w:spacing w:line="360" w:lineRule="auto"/>
        <w:ind w:firstLineChars="200" w:firstLine="480"/>
        <w:rPr>
          <w:rFonts w:ascii="宋体" w:hAnsi="宋体"/>
          <w:bCs/>
          <w:sz w:val="24"/>
        </w:rPr>
      </w:pPr>
      <w:r>
        <w:rPr>
          <w:rFonts w:ascii="宋体" w:hAnsi="宋体"/>
          <w:bCs/>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6AC2FA9A"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3、基金财产清算小组职责：基金财产清算小组负责基金财产的保管、清理、估价、变现和分配。基金财产清算小组可以依法进行必要的民事活动。</w:t>
      </w:r>
    </w:p>
    <w:p w14:paraId="5514D703" w14:textId="77777777" w:rsidR="00DD2567" w:rsidRDefault="00680E4C">
      <w:pPr>
        <w:spacing w:line="360" w:lineRule="auto"/>
        <w:ind w:firstLineChars="200" w:firstLine="480"/>
        <w:rPr>
          <w:rFonts w:ascii="宋体" w:hAnsi="宋体"/>
          <w:bCs/>
          <w:sz w:val="24"/>
        </w:rPr>
      </w:pPr>
      <w:r>
        <w:rPr>
          <w:rFonts w:ascii="宋体" w:hAnsi="宋体"/>
          <w:bCs/>
          <w:sz w:val="24"/>
        </w:rPr>
        <w:t>4、基金财产清算程序：</w:t>
      </w:r>
    </w:p>
    <w:p w14:paraId="1B896B9A" w14:textId="77777777" w:rsidR="00DD2567" w:rsidRDefault="00680E4C">
      <w:pPr>
        <w:spacing w:line="360" w:lineRule="auto"/>
        <w:ind w:firstLineChars="200" w:firstLine="480"/>
        <w:rPr>
          <w:rFonts w:ascii="宋体" w:hAnsi="宋体"/>
          <w:bCs/>
          <w:sz w:val="24"/>
        </w:rPr>
      </w:pPr>
      <w:r>
        <w:rPr>
          <w:rFonts w:ascii="宋体" w:hAnsi="宋体"/>
          <w:bCs/>
          <w:sz w:val="24"/>
        </w:rPr>
        <w:t>（1）《基金合同》终止情形出现时，由基金财产清算小组统一接管基金；</w:t>
      </w:r>
    </w:p>
    <w:p w14:paraId="01F1C0CD" w14:textId="77777777" w:rsidR="00DD2567" w:rsidRDefault="00680E4C">
      <w:pPr>
        <w:spacing w:line="360" w:lineRule="auto"/>
        <w:ind w:firstLineChars="200" w:firstLine="480"/>
        <w:rPr>
          <w:rFonts w:ascii="宋体" w:hAnsi="宋体"/>
          <w:bCs/>
          <w:sz w:val="24"/>
        </w:rPr>
      </w:pPr>
      <w:r>
        <w:rPr>
          <w:rFonts w:ascii="宋体" w:hAnsi="宋体"/>
          <w:bCs/>
          <w:sz w:val="24"/>
        </w:rPr>
        <w:t>（2）对基金财产和债权债务进行清理和确认；</w:t>
      </w:r>
    </w:p>
    <w:p w14:paraId="327E2162" w14:textId="77777777" w:rsidR="00DD2567" w:rsidRDefault="00680E4C">
      <w:pPr>
        <w:spacing w:line="360" w:lineRule="auto"/>
        <w:ind w:firstLineChars="200" w:firstLine="480"/>
        <w:rPr>
          <w:rFonts w:ascii="宋体" w:hAnsi="宋体"/>
          <w:bCs/>
          <w:sz w:val="24"/>
        </w:rPr>
      </w:pPr>
      <w:r>
        <w:rPr>
          <w:rFonts w:ascii="宋体" w:hAnsi="宋体"/>
          <w:bCs/>
          <w:sz w:val="24"/>
        </w:rPr>
        <w:t>（3）对基金财产进行估值和变现；</w:t>
      </w:r>
    </w:p>
    <w:p w14:paraId="2BD38D30" w14:textId="77777777" w:rsidR="00DD2567" w:rsidRDefault="00680E4C">
      <w:pPr>
        <w:spacing w:line="360" w:lineRule="auto"/>
        <w:ind w:firstLineChars="200" w:firstLine="480"/>
        <w:rPr>
          <w:rFonts w:ascii="宋体" w:hAnsi="宋体"/>
          <w:bCs/>
          <w:sz w:val="24"/>
        </w:rPr>
      </w:pPr>
      <w:r>
        <w:rPr>
          <w:rFonts w:ascii="宋体" w:hAnsi="宋体"/>
          <w:bCs/>
          <w:sz w:val="24"/>
        </w:rPr>
        <w:t>（4）制作清算报告；</w:t>
      </w:r>
    </w:p>
    <w:p w14:paraId="6DDC3A15" w14:textId="77777777" w:rsidR="00DD2567" w:rsidRDefault="00680E4C">
      <w:pPr>
        <w:spacing w:line="360" w:lineRule="auto"/>
        <w:ind w:firstLineChars="200" w:firstLine="480"/>
        <w:rPr>
          <w:rFonts w:ascii="宋体" w:hAnsi="宋体"/>
          <w:bCs/>
          <w:sz w:val="24"/>
        </w:rPr>
      </w:pPr>
      <w:r>
        <w:rPr>
          <w:rFonts w:ascii="宋体" w:hAnsi="宋体"/>
          <w:bCs/>
          <w:sz w:val="24"/>
        </w:rPr>
        <w:t>（5）聘请会计师事务所对清算报告进行外部审计，聘请律师事务所对清算报告出具法律意见书；</w:t>
      </w:r>
    </w:p>
    <w:p w14:paraId="34AD3B0E" w14:textId="77777777" w:rsidR="00DD2567" w:rsidRDefault="00680E4C">
      <w:pPr>
        <w:spacing w:line="360" w:lineRule="auto"/>
        <w:ind w:firstLineChars="200" w:firstLine="480"/>
        <w:rPr>
          <w:rFonts w:ascii="宋体" w:hAnsi="宋体"/>
          <w:bCs/>
          <w:sz w:val="24"/>
        </w:rPr>
      </w:pPr>
      <w:r>
        <w:rPr>
          <w:rFonts w:ascii="宋体" w:hAnsi="宋体"/>
          <w:bCs/>
          <w:sz w:val="24"/>
        </w:rPr>
        <w:t>（6）将清算报告报中国证监会备案并公告</w:t>
      </w:r>
      <w:r>
        <w:rPr>
          <w:rFonts w:ascii="宋体" w:hAnsi="宋体" w:hint="eastAsia"/>
          <w:bCs/>
          <w:sz w:val="24"/>
        </w:rPr>
        <w:t>；</w:t>
      </w:r>
    </w:p>
    <w:p w14:paraId="74BF52A3" w14:textId="77777777" w:rsidR="00DD2567" w:rsidRDefault="00680E4C">
      <w:pPr>
        <w:spacing w:line="360" w:lineRule="auto"/>
        <w:ind w:firstLineChars="200" w:firstLine="480"/>
        <w:rPr>
          <w:rFonts w:ascii="宋体" w:hAnsi="宋体"/>
          <w:bCs/>
          <w:sz w:val="24"/>
        </w:rPr>
      </w:pPr>
      <w:r>
        <w:rPr>
          <w:rFonts w:ascii="宋体" w:hAnsi="宋体"/>
          <w:bCs/>
          <w:sz w:val="24"/>
        </w:rPr>
        <w:t>（7）对基金</w:t>
      </w:r>
      <w:r>
        <w:rPr>
          <w:rFonts w:ascii="宋体" w:hAnsi="宋体" w:hint="eastAsia"/>
          <w:bCs/>
          <w:sz w:val="24"/>
        </w:rPr>
        <w:t>剩余</w:t>
      </w:r>
      <w:r>
        <w:rPr>
          <w:rFonts w:ascii="宋体" w:hAnsi="宋体"/>
          <w:bCs/>
          <w:sz w:val="24"/>
        </w:rPr>
        <w:t>财产进行分配</w:t>
      </w:r>
      <w:r>
        <w:rPr>
          <w:rFonts w:ascii="宋体" w:hAnsi="宋体" w:hint="eastAsia"/>
          <w:bCs/>
          <w:sz w:val="24"/>
        </w:rPr>
        <w:t>。</w:t>
      </w:r>
    </w:p>
    <w:p w14:paraId="6AD22D26" w14:textId="77777777" w:rsidR="00DD2567" w:rsidRDefault="00680E4C">
      <w:pPr>
        <w:spacing w:line="360" w:lineRule="auto"/>
        <w:ind w:firstLineChars="200" w:firstLine="480"/>
        <w:rPr>
          <w:rFonts w:ascii="宋体" w:hAnsi="宋体"/>
          <w:bCs/>
          <w:sz w:val="24"/>
        </w:rPr>
      </w:pPr>
      <w:r>
        <w:rPr>
          <w:rFonts w:ascii="宋体" w:hAnsi="宋体"/>
          <w:bCs/>
          <w:sz w:val="24"/>
        </w:rPr>
        <w:t>5、基金财产清算的期限为</w:t>
      </w:r>
      <w:r>
        <w:rPr>
          <w:rFonts w:ascii="宋体" w:hAnsi="宋体" w:hint="eastAsia"/>
          <w:bCs/>
          <w:sz w:val="24"/>
        </w:rPr>
        <w:t>6</w:t>
      </w:r>
      <w:r>
        <w:rPr>
          <w:rFonts w:ascii="宋体" w:hAnsi="宋体"/>
          <w:bCs/>
          <w:sz w:val="24"/>
        </w:rPr>
        <w:t>个月。</w:t>
      </w:r>
    </w:p>
    <w:p w14:paraId="1C1B076A" w14:textId="77777777" w:rsidR="00DD2567" w:rsidRDefault="00680E4C">
      <w:pPr>
        <w:spacing w:line="360" w:lineRule="auto"/>
        <w:ind w:firstLineChars="200" w:firstLine="480"/>
        <w:rPr>
          <w:rFonts w:ascii="宋体" w:hAnsi="宋体"/>
          <w:bCs/>
          <w:sz w:val="24"/>
        </w:rPr>
      </w:pPr>
      <w:r>
        <w:rPr>
          <w:rFonts w:ascii="宋体" w:hAnsi="宋体" w:hint="eastAsia"/>
          <w:bCs/>
          <w:sz w:val="24"/>
        </w:rPr>
        <w:t>五</w:t>
      </w:r>
      <w:r>
        <w:rPr>
          <w:rFonts w:ascii="宋体" w:hAnsi="宋体"/>
          <w:bCs/>
          <w:sz w:val="24"/>
        </w:rPr>
        <w:t>、清算费用</w:t>
      </w:r>
    </w:p>
    <w:p w14:paraId="53F823AE" w14:textId="77777777" w:rsidR="00DD2567" w:rsidRDefault="00680E4C">
      <w:pPr>
        <w:spacing w:line="360" w:lineRule="auto"/>
        <w:ind w:firstLineChars="200" w:firstLine="480"/>
        <w:rPr>
          <w:rFonts w:ascii="宋体" w:hAnsi="宋体"/>
          <w:bCs/>
          <w:sz w:val="24"/>
        </w:rPr>
      </w:pPr>
      <w:r>
        <w:rPr>
          <w:rFonts w:ascii="宋体" w:hAnsi="宋体"/>
          <w:bCs/>
          <w:sz w:val="24"/>
        </w:rPr>
        <w:t>清算费用是指基金财产清算小组在进行基金清算过程中发生的所有合理费用，清算费用由基金财产清算小组优先从基金财产中支付。</w:t>
      </w:r>
    </w:p>
    <w:p w14:paraId="717DB08F" w14:textId="77777777" w:rsidR="00DD2567" w:rsidRDefault="00680E4C">
      <w:pPr>
        <w:spacing w:line="360" w:lineRule="auto"/>
        <w:ind w:firstLineChars="200" w:firstLine="480"/>
        <w:rPr>
          <w:rFonts w:ascii="宋体" w:hAnsi="宋体"/>
          <w:bCs/>
          <w:sz w:val="24"/>
        </w:rPr>
      </w:pPr>
      <w:r>
        <w:rPr>
          <w:rFonts w:ascii="宋体" w:hAnsi="宋体" w:hint="eastAsia"/>
          <w:bCs/>
          <w:sz w:val="24"/>
        </w:rPr>
        <w:t>六</w:t>
      </w:r>
      <w:r>
        <w:rPr>
          <w:rFonts w:ascii="宋体" w:hAnsi="宋体"/>
          <w:bCs/>
          <w:sz w:val="24"/>
        </w:rPr>
        <w:t>、基金财产清算剩余资产的分配</w:t>
      </w:r>
    </w:p>
    <w:p w14:paraId="7DEB62CB" w14:textId="77777777" w:rsidR="00DD2567" w:rsidRDefault="00680E4C">
      <w:pPr>
        <w:spacing w:line="360" w:lineRule="auto"/>
        <w:ind w:firstLineChars="200" w:firstLine="480"/>
        <w:rPr>
          <w:rFonts w:ascii="宋体" w:hAnsi="宋体"/>
          <w:bCs/>
          <w:sz w:val="24"/>
        </w:rPr>
      </w:pPr>
      <w:r>
        <w:rPr>
          <w:rFonts w:ascii="宋体" w:hAnsi="宋体"/>
          <w:bCs/>
          <w:sz w:val="24"/>
        </w:rPr>
        <w:t>依据基金财产清算的分配方案，将基金财产清算后的全部剩余资产扣除基金财产清算费用、交纳所欠税款并清偿基金债务后，按基金份额持有人持有的基金份额比例进行分配。</w:t>
      </w:r>
    </w:p>
    <w:p w14:paraId="4A3A07E5" w14:textId="77777777" w:rsidR="00DD2567" w:rsidRDefault="00680E4C">
      <w:pPr>
        <w:spacing w:line="360" w:lineRule="auto"/>
        <w:ind w:firstLineChars="200" w:firstLine="480"/>
        <w:rPr>
          <w:rFonts w:ascii="宋体" w:hAnsi="宋体"/>
          <w:bCs/>
          <w:sz w:val="24"/>
        </w:rPr>
      </w:pPr>
      <w:r>
        <w:rPr>
          <w:rFonts w:ascii="宋体" w:hAnsi="宋体" w:hint="eastAsia"/>
          <w:bCs/>
          <w:sz w:val="24"/>
        </w:rPr>
        <w:t>七</w:t>
      </w:r>
      <w:r>
        <w:rPr>
          <w:rFonts w:ascii="宋体" w:hAnsi="宋体"/>
          <w:bCs/>
          <w:sz w:val="24"/>
        </w:rPr>
        <w:t>、基金财产清算的公告</w:t>
      </w:r>
    </w:p>
    <w:p w14:paraId="2F4DC9AA" w14:textId="77777777" w:rsidR="00DD2567" w:rsidRDefault="00680E4C">
      <w:pPr>
        <w:spacing w:line="360" w:lineRule="auto"/>
        <w:ind w:firstLineChars="200" w:firstLine="480"/>
        <w:rPr>
          <w:rFonts w:ascii="宋体" w:hAnsi="宋体"/>
          <w:bCs/>
          <w:sz w:val="24"/>
        </w:rPr>
      </w:pPr>
      <w:r>
        <w:rPr>
          <w:rFonts w:ascii="宋体" w:hAnsi="宋体"/>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宋体" w:hAnsi="宋体" w:hint="eastAsia"/>
          <w:bCs/>
          <w:sz w:val="24"/>
        </w:rPr>
        <w:t>5</w:t>
      </w:r>
      <w:r>
        <w:rPr>
          <w:rFonts w:ascii="宋体" w:hAnsi="宋体"/>
          <w:bCs/>
          <w:sz w:val="24"/>
        </w:rPr>
        <w:t>个工作日内由基金财产清算小组进行公告。</w:t>
      </w:r>
    </w:p>
    <w:p w14:paraId="563E40B2" w14:textId="77777777" w:rsidR="00DD2567" w:rsidRDefault="00680E4C">
      <w:pPr>
        <w:spacing w:line="360" w:lineRule="auto"/>
        <w:ind w:firstLineChars="200" w:firstLine="480"/>
        <w:rPr>
          <w:rFonts w:ascii="宋体" w:hAnsi="宋体"/>
          <w:bCs/>
          <w:sz w:val="24"/>
        </w:rPr>
      </w:pPr>
      <w:r>
        <w:rPr>
          <w:rFonts w:ascii="宋体" w:hAnsi="宋体" w:hint="eastAsia"/>
          <w:bCs/>
          <w:sz w:val="24"/>
        </w:rPr>
        <w:t>八</w:t>
      </w:r>
      <w:r>
        <w:rPr>
          <w:rFonts w:ascii="宋体" w:hAnsi="宋体"/>
          <w:bCs/>
          <w:sz w:val="24"/>
        </w:rPr>
        <w:t>、基金财产清算账册及文件的保存</w:t>
      </w:r>
    </w:p>
    <w:p w14:paraId="2D44C083" w14:textId="77777777" w:rsidR="00DD2567" w:rsidRDefault="00680E4C">
      <w:pPr>
        <w:spacing w:line="360" w:lineRule="auto"/>
        <w:ind w:firstLineChars="200" w:firstLine="480"/>
        <w:rPr>
          <w:rFonts w:ascii="宋体" w:hAnsi="宋体"/>
          <w:bCs/>
          <w:sz w:val="24"/>
        </w:rPr>
      </w:pPr>
      <w:r>
        <w:rPr>
          <w:rFonts w:ascii="宋体" w:hAnsi="宋体"/>
          <w:bCs/>
          <w:sz w:val="24"/>
        </w:rPr>
        <w:t>基金财产清算账册及有关文件由基金托管人保存</w:t>
      </w:r>
      <w:r>
        <w:rPr>
          <w:rFonts w:ascii="宋体" w:hAnsi="宋体" w:hint="eastAsia"/>
          <w:bCs/>
          <w:sz w:val="24"/>
        </w:rPr>
        <w:t>15</w:t>
      </w:r>
      <w:r>
        <w:rPr>
          <w:rFonts w:ascii="宋体" w:hAnsi="宋体"/>
          <w:bCs/>
          <w:sz w:val="24"/>
        </w:rPr>
        <w:t>年以上。</w:t>
      </w:r>
    </w:p>
    <w:p w14:paraId="419A1EE2" w14:textId="78844365" w:rsidR="00DD2567" w:rsidRDefault="00680E4C">
      <w:pPr>
        <w:pStyle w:val="1"/>
        <w:spacing w:before="0" w:after="0"/>
        <w:jc w:val="center"/>
        <w:rPr>
          <w:rFonts w:ascii="Times New Roman"/>
          <w:color w:val="auto"/>
          <w:sz w:val="30"/>
        </w:rPr>
      </w:pPr>
      <w:r>
        <w:rPr>
          <w:rFonts w:ascii="Times New Roman"/>
          <w:b w:val="0"/>
          <w:bCs/>
          <w:color w:val="auto"/>
        </w:rPr>
        <w:br w:type="page"/>
      </w:r>
      <w:bookmarkStart w:id="317" w:name="_Toc141703898"/>
      <w:bookmarkStart w:id="318" w:name="_Toc342469907"/>
      <w:bookmarkStart w:id="319" w:name="_Toc93226151"/>
      <w:bookmarkStart w:id="320" w:name="_Toc92662709"/>
      <w:bookmarkStart w:id="321" w:name="_Toc139991748"/>
      <w:bookmarkStart w:id="322" w:name="_Toc128310501"/>
      <w:bookmarkStart w:id="323" w:name="_Toc1421"/>
      <w:bookmarkStart w:id="324" w:name="_Toc8512"/>
      <w:bookmarkStart w:id="325" w:name="_Toc11049"/>
      <w:bookmarkStart w:id="326" w:name="_Toc1173"/>
      <w:bookmarkStart w:id="327" w:name="_Toc12028"/>
      <w:bookmarkStart w:id="328" w:name="_Toc31866"/>
      <w:bookmarkStart w:id="329" w:name="_Toc29289"/>
      <w:bookmarkStart w:id="330" w:name="_Toc11802"/>
      <w:bookmarkStart w:id="331" w:name="_Toc193"/>
      <w:bookmarkStart w:id="332" w:name="_Toc3056"/>
      <w:r>
        <w:rPr>
          <w:rFonts w:ascii="Times New Roman"/>
          <w:color w:val="auto"/>
          <w:sz w:val="30"/>
        </w:rPr>
        <w:lastRenderedPageBreak/>
        <w:t>第十八部分</w:t>
      </w:r>
      <w:r w:rsidR="007B4A6C">
        <w:rPr>
          <w:rFonts w:ascii="Times New Roman" w:hint="eastAsia"/>
          <w:color w:val="auto"/>
          <w:sz w:val="30"/>
        </w:rPr>
        <w:t xml:space="preserve"> </w:t>
      </w:r>
      <w:r>
        <w:rPr>
          <w:rFonts w:hint="eastAsia"/>
          <w:bCs/>
          <w:sz w:val="28"/>
          <w:szCs w:val="28"/>
        </w:rPr>
        <w:t>基金合同的内容摘要</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p w14:paraId="509F8DE8" w14:textId="77777777" w:rsidR="00DD2567" w:rsidRDefault="00DD2567">
      <w:pPr>
        <w:spacing w:line="360" w:lineRule="auto"/>
        <w:ind w:firstLineChars="200" w:firstLine="480"/>
        <w:rPr>
          <w:bCs/>
          <w:sz w:val="24"/>
        </w:rPr>
      </w:pPr>
    </w:p>
    <w:p w14:paraId="1413D3E7" w14:textId="77777777" w:rsidR="00DD2567" w:rsidRDefault="00680E4C">
      <w:pPr>
        <w:snapToGrid w:val="0"/>
        <w:spacing w:line="360" w:lineRule="auto"/>
        <w:ind w:firstLineChars="200" w:firstLine="480"/>
        <w:rPr>
          <w:rFonts w:ascii="宋体" w:hAnsi="宋体"/>
          <w:sz w:val="24"/>
        </w:rPr>
      </w:pPr>
      <w:r>
        <w:rPr>
          <w:rFonts w:ascii="宋体" w:hAnsi="宋体" w:hint="eastAsia"/>
          <w:sz w:val="24"/>
        </w:rPr>
        <w:t>基金合同的内容摘要见附件一。</w:t>
      </w:r>
    </w:p>
    <w:p w14:paraId="57B4F77E" w14:textId="051A69F0" w:rsidR="00DD2567" w:rsidRDefault="00680E4C">
      <w:pPr>
        <w:pStyle w:val="1"/>
        <w:spacing w:before="340" w:after="330"/>
        <w:ind w:left="420"/>
        <w:jc w:val="center"/>
        <w:rPr>
          <w:bCs/>
          <w:sz w:val="28"/>
          <w:szCs w:val="28"/>
        </w:rPr>
      </w:pPr>
      <w:r>
        <w:rPr>
          <w:rFonts w:ascii="Times New Roman"/>
          <w:b w:val="0"/>
          <w:bCs/>
          <w:color w:val="auto"/>
          <w:kern w:val="44"/>
          <w:sz w:val="21"/>
        </w:rPr>
        <w:br w:type="page"/>
      </w:r>
      <w:bookmarkStart w:id="333" w:name="_Toc123112247"/>
      <w:bookmarkStart w:id="334" w:name="_Toc6237"/>
      <w:bookmarkStart w:id="335" w:name="_Toc123051465"/>
      <w:bookmarkStart w:id="336" w:name="_Toc98560364"/>
      <w:bookmarkStart w:id="337" w:name="_Toc8059"/>
      <w:bookmarkStart w:id="338" w:name="_Toc7170"/>
      <w:bookmarkStart w:id="339" w:name="_Toc139991749"/>
      <w:bookmarkStart w:id="340" w:name="_Toc25647"/>
      <w:bookmarkStart w:id="341" w:name="_Toc123102466"/>
      <w:bookmarkStart w:id="342" w:name="_Toc29891"/>
      <w:bookmarkStart w:id="343" w:name="_Toc10006"/>
      <w:bookmarkStart w:id="344" w:name="_Toc9005"/>
      <w:bookmarkStart w:id="345" w:name="_Toc141703899"/>
      <w:bookmarkStart w:id="346" w:name="_Toc8049"/>
      <w:bookmarkStart w:id="347" w:name="_Toc22978"/>
      <w:bookmarkStart w:id="348" w:name="_Toc27464"/>
      <w:bookmarkStart w:id="349" w:name="_Toc342469908"/>
      <w:r>
        <w:rPr>
          <w:rFonts w:ascii="Times New Roman"/>
          <w:color w:val="auto"/>
          <w:sz w:val="30"/>
        </w:rPr>
        <w:lastRenderedPageBreak/>
        <w:t>第十九部分</w:t>
      </w:r>
      <w:bookmarkStart w:id="350" w:name="_Toc270669892"/>
      <w:bookmarkStart w:id="351" w:name="_Toc30154328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r w:rsidR="007B4A6C">
        <w:rPr>
          <w:rFonts w:ascii="Times New Roman" w:hint="eastAsia"/>
          <w:color w:val="auto"/>
          <w:sz w:val="30"/>
        </w:rPr>
        <w:t xml:space="preserve"> </w:t>
      </w:r>
      <w:r>
        <w:rPr>
          <w:rFonts w:ascii="Times New Roman" w:hint="eastAsia"/>
          <w:color w:val="auto"/>
          <w:sz w:val="30"/>
        </w:rPr>
        <w:t>基金托管协议的内容摘要</w:t>
      </w:r>
      <w:bookmarkEnd w:id="349"/>
      <w:bookmarkEnd w:id="350"/>
      <w:bookmarkEnd w:id="351"/>
    </w:p>
    <w:p w14:paraId="54878DEA" w14:textId="77777777" w:rsidR="00DD2567" w:rsidRDefault="00680E4C">
      <w:pPr>
        <w:spacing w:line="360" w:lineRule="auto"/>
        <w:ind w:firstLineChars="200" w:firstLine="480"/>
        <w:rPr>
          <w:rFonts w:ascii="宋体" w:hAnsi="宋体"/>
          <w:bCs/>
          <w:sz w:val="24"/>
        </w:rPr>
      </w:pPr>
      <w:r>
        <w:rPr>
          <w:rFonts w:ascii="宋体" w:hAnsi="宋体" w:hint="eastAsia"/>
          <w:bCs/>
          <w:sz w:val="24"/>
        </w:rPr>
        <w:t>基金托管协议的内容摘要见附件二。</w:t>
      </w:r>
    </w:p>
    <w:p w14:paraId="6F5C2E7C" w14:textId="77777777" w:rsidR="00DD2567" w:rsidRDefault="00DD2567">
      <w:pPr>
        <w:spacing w:line="360" w:lineRule="auto"/>
        <w:ind w:firstLineChars="200" w:firstLine="480"/>
        <w:rPr>
          <w:bCs/>
          <w:sz w:val="24"/>
        </w:rPr>
      </w:pPr>
    </w:p>
    <w:p w14:paraId="3E703B24" w14:textId="615ED38F" w:rsidR="00DD2567" w:rsidRDefault="00680E4C">
      <w:pPr>
        <w:pStyle w:val="1"/>
        <w:spacing w:before="0" w:after="0"/>
        <w:jc w:val="center"/>
        <w:rPr>
          <w:rFonts w:ascii="Times New Roman"/>
          <w:color w:val="auto"/>
          <w:sz w:val="30"/>
        </w:rPr>
      </w:pPr>
      <w:bookmarkStart w:id="352" w:name="_Toc123102467"/>
      <w:bookmarkStart w:id="353" w:name="_Toc123112248"/>
      <w:bookmarkStart w:id="354" w:name="_Toc123051466"/>
      <w:bookmarkStart w:id="355" w:name="_Toc48649720"/>
      <w:bookmarkStart w:id="356" w:name="_Toc79392641"/>
      <w:bookmarkStart w:id="357" w:name="_Toc98560365"/>
      <w:r>
        <w:rPr>
          <w:rFonts w:ascii="Times New Roman"/>
          <w:b w:val="0"/>
          <w:bCs/>
          <w:color w:val="auto"/>
        </w:rPr>
        <w:br w:type="page"/>
      </w:r>
      <w:bookmarkStart w:id="358" w:name="_Toc7367"/>
      <w:bookmarkStart w:id="359" w:name="_Toc28549"/>
      <w:bookmarkStart w:id="360" w:name="_Toc8710"/>
      <w:bookmarkStart w:id="361" w:name="_Toc141703901"/>
      <w:bookmarkStart w:id="362" w:name="_Toc27058"/>
      <w:bookmarkStart w:id="363" w:name="_Toc9708"/>
      <w:bookmarkStart w:id="364" w:name="_Toc139991750"/>
      <w:bookmarkStart w:id="365" w:name="_Toc13398"/>
      <w:bookmarkStart w:id="366" w:name="_Toc21240"/>
      <w:bookmarkStart w:id="367" w:name="_Toc30645"/>
      <w:bookmarkStart w:id="368" w:name="_Toc23022"/>
      <w:bookmarkStart w:id="369" w:name="_Toc12191"/>
      <w:bookmarkStart w:id="370" w:name="_Toc342469909"/>
      <w:r>
        <w:rPr>
          <w:rFonts w:ascii="Times New Roman"/>
          <w:color w:val="auto"/>
          <w:sz w:val="30"/>
        </w:rPr>
        <w:lastRenderedPageBreak/>
        <w:t>第二十部分</w:t>
      </w:r>
      <w:r w:rsidR="007B4A6C">
        <w:rPr>
          <w:rFonts w:ascii="Times New Roman" w:hint="eastAsia"/>
          <w:color w:val="auto"/>
          <w:sz w:val="30"/>
        </w:rPr>
        <w:t xml:space="preserve"> </w:t>
      </w:r>
      <w:r>
        <w:rPr>
          <w:rFonts w:ascii="Times New Roman" w:hint="eastAsia"/>
          <w:color w:val="auto"/>
          <w:sz w:val="30"/>
        </w:rPr>
        <w:t>对基金份额持有人的服务</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p w14:paraId="7299A3B9" w14:textId="77777777" w:rsidR="00DD2567" w:rsidRDefault="00DD2567">
      <w:pPr>
        <w:spacing w:line="360" w:lineRule="auto"/>
        <w:ind w:firstLineChars="200" w:firstLine="480"/>
        <w:rPr>
          <w:bCs/>
          <w:sz w:val="24"/>
        </w:rPr>
      </w:pPr>
    </w:p>
    <w:p w14:paraId="0B2AF3A3" w14:textId="77777777" w:rsidR="00DD2567" w:rsidRDefault="00680E4C">
      <w:pPr>
        <w:spacing w:line="360" w:lineRule="auto"/>
        <w:ind w:firstLineChars="200" w:firstLine="480"/>
        <w:rPr>
          <w:rFonts w:ascii="宋体" w:hAnsi="宋体"/>
          <w:sz w:val="24"/>
        </w:rPr>
      </w:pPr>
      <w:r>
        <w:rPr>
          <w:rFonts w:ascii="宋体" w:hAnsi="宋体" w:hint="eastAsia"/>
          <w:sz w:val="24"/>
        </w:rPr>
        <w:t>基金管理人承诺为基金份额持有人提供一系列的服务。基金管理人将根据基金份额持有人的需要和市场的变化，增加或变更服务项目及内容。主要服务内容如下：</w:t>
      </w:r>
    </w:p>
    <w:p w14:paraId="09D15869" w14:textId="77777777" w:rsidR="00DD2567" w:rsidRDefault="00680E4C">
      <w:pPr>
        <w:spacing w:line="360" w:lineRule="auto"/>
        <w:ind w:firstLineChars="200" w:firstLine="480"/>
        <w:rPr>
          <w:rFonts w:ascii="宋体" w:hAnsi="宋体"/>
          <w:sz w:val="24"/>
        </w:rPr>
      </w:pPr>
      <w:r>
        <w:rPr>
          <w:rFonts w:ascii="宋体" w:hAnsi="宋体" w:hint="eastAsia"/>
          <w:sz w:val="24"/>
        </w:rPr>
        <w:t>一、公开信息披露服务</w:t>
      </w:r>
    </w:p>
    <w:p w14:paraId="3F395D5B" w14:textId="77777777" w:rsidR="00DD2567" w:rsidRDefault="00680E4C">
      <w:pPr>
        <w:spacing w:line="360" w:lineRule="auto"/>
        <w:ind w:firstLineChars="200" w:firstLine="480"/>
        <w:rPr>
          <w:rFonts w:ascii="宋体" w:hAnsi="宋体"/>
          <w:sz w:val="24"/>
        </w:rPr>
      </w:pPr>
      <w:r>
        <w:rPr>
          <w:rFonts w:ascii="宋体" w:hAnsi="宋体" w:hint="eastAsia"/>
          <w:sz w:val="24"/>
        </w:rPr>
        <w:t>1、披露公司（基金管理人）信息；</w:t>
      </w:r>
    </w:p>
    <w:p w14:paraId="16BF4227" w14:textId="77777777" w:rsidR="00DD2567" w:rsidRDefault="00680E4C">
      <w:pPr>
        <w:spacing w:line="360" w:lineRule="auto"/>
        <w:ind w:firstLineChars="200" w:firstLine="480"/>
        <w:rPr>
          <w:rFonts w:ascii="宋体" w:hAnsi="宋体"/>
          <w:sz w:val="24"/>
        </w:rPr>
      </w:pPr>
      <w:r>
        <w:rPr>
          <w:rFonts w:ascii="宋体" w:hAnsi="宋体" w:hint="eastAsia"/>
          <w:sz w:val="24"/>
        </w:rPr>
        <w:t>2、披露基金信息；</w:t>
      </w:r>
    </w:p>
    <w:p w14:paraId="4259A0B1" w14:textId="77777777" w:rsidR="00DD2567" w:rsidRDefault="00680E4C">
      <w:pPr>
        <w:spacing w:line="360" w:lineRule="auto"/>
        <w:ind w:firstLineChars="200" w:firstLine="480"/>
        <w:rPr>
          <w:rFonts w:ascii="宋体" w:hAnsi="宋体"/>
          <w:sz w:val="24"/>
        </w:rPr>
      </w:pPr>
      <w:r>
        <w:rPr>
          <w:rFonts w:ascii="宋体" w:hAnsi="宋体" w:hint="eastAsia"/>
          <w:sz w:val="24"/>
        </w:rPr>
        <w:t>3、其他信息的披露。</w:t>
      </w:r>
    </w:p>
    <w:p w14:paraId="03768DEE" w14:textId="77777777" w:rsidR="00DD2567" w:rsidRDefault="00680E4C">
      <w:pPr>
        <w:spacing w:line="360" w:lineRule="auto"/>
        <w:ind w:left="480"/>
        <w:rPr>
          <w:rFonts w:ascii="宋体" w:hAnsi="宋体"/>
          <w:sz w:val="24"/>
        </w:rPr>
      </w:pPr>
      <w:r>
        <w:rPr>
          <w:rFonts w:ascii="宋体" w:hAnsi="宋体" w:hint="eastAsia"/>
          <w:sz w:val="24"/>
        </w:rPr>
        <w:t>二、基金份额持有人交易记录查询服务</w:t>
      </w:r>
    </w:p>
    <w:p w14:paraId="762F9EF3" w14:textId="77777777" w:rsidR="00DD2567" w:rsidRDefault="00680E4C">
      <w:pPr>
        <w:spacing w:line="360" w:lineRule="auto"/>
        <w:ind w:firstLineChars="200" w:firstLine="480"/>
        <w:rPr>
          <w:rFonts w:ascii="宋体" w:hAnsi="宋体"/>
          <w:sz w:val="24"/>
        </w:rPr>
      </w:pPr>
      <w:r>
        <w:rPr>
          <w:rFonts w:ascii="宋体" w:hAnsi="宋体" w:hint="eastAsia"/>
          <w:sz w:val="24"/>
        </w:rPr>
        <w:t>基金份额持有人可通过基金管理人的客户服务中心查询历史交易记录。</w:t>
      </w:r>
    </w:p>
    <w:p w14:paraId="1BF1D906" w14:textId="77777777" w:rsidR="00DD2567" w:rsidRDefault="00680E4C">
      <w:pPr>
        <w:spacing w:line="360" w:lineRule="auto"/>
        <w:ind w:left="480"/>
        <w:rPr>
          <w:rFonts w:ascii="宋体" w:hAnsi="宋体"/>
          <w:sz w:val="24"/>
        </w:rPr>
      </w:pPr>
      <w:r>
        <w:rPr>
          <w:rFonts w:ascii="宋体" w:hAnsi="宋体" w:hint="eastAsia"/>
          <w:sz w:val="24"/>
        </w:rPr>
        <w:t>三、基金份额持有人交易对帐单寄送服务</w:t>
      </w:r>
    </w:p>
    <w:p w14:paraId="281F81B0" w14:textId="77777777" w:rsidR="00DD2567" w:rsidRDefault="00680E4C">
      <w:pPr>
        <w:spacing w:line="360" w:lineRule="auto"/>
        <w:ind w:firstLineChars="200" w:firstLine="480"/>
        <w:rPr>
          <w:rFonts w:ascii="宋体" w:hAnsi="宋体"/>
          <w:sz w:val="24"/>
        </w:rPr>
      </w:pPr>
      <w:r>
        <w:rPr>
          <w:rFonts w:ascii="宋体" w:hAnsi="宋体" w:hint="eastAsia"/>
          <w:sz w:val="24"/>
        </w:rPr>
        <w:t>一般情况下通过书面或电子形式向投资人提供定期或不定期对账单。</w:t>
      </w:r>
    </w:p>
    <w:p w14:paraId="5BBF13DA" w14:textId="77777777" w:rsidR="00DD2567" w:rsidRDefault="00680E4C">
      <w:pPr>
        <w:spacing w:line="360" w:lineRule="auto"/>
        <w:ind w:left="480"/>
        <w:rPr>
          <w:rFonts w:ascii="宋体" w:hAnsi="宋体"/>
          <w:sz w:val="24"/>
        </w:rPr>
      </w:pPr>
      <w:r>
        <w:rPr>
          <w:rFonts w:ascii="宋体" w:hAnsi="宋体" w:hint="eastAsia"/>
          <w:sz w:val="24"/>
        </w:rPr>
        <w:t>四、定期定额投资计划</w:t>
      </w:r>
    </w:p>
    <w:p w14:paraId="4C698702" w14:textId="77777777" w:rsidR="00DD2567" w:rsidRDefault="00680E4C">
      <w:pPr>
        <w:spacing w:line="360" w:lineRule="auto"/>
        <w:ind w:firstLineChars="200" w:firstLine="480"/>
        <w:rPr>
          <w:rFonts w:ascii="宋体" w:hAnsi="宋体"/>
          <w:sz w:val="24"/>
        </w:rPr>
      </w:pPr>
      <w:r>
        <w:rPr>
          <w:rFonts w:ascii="宋体" w:hAnsi="宋体" w:hint="eastAsia"/>
          <w:sz w:val="24"/>
        </w:rPr>
        <w:t>基金管理人利用代销机构网点为投资人提供定期定额投资的服务。通过定期投资计划，投资人可以通过固定的渠道，定期定额申购基金份额。具体实施时间和业务规则另行公告。</w:t>
      </w:r>
    </w:p>
    <w:p w14:paraId="076D3863" w14:textId="77777777" w:rsidR="00DD2567" w:rsidRDefault="00680E4C">
      <w:pPr>
        <w:spacing w:line="360" w:lineRule="auto"/>
        <w:ind w:left="480"/>
        <w:rPr>
          <w:rFonts w:ascii="宋体" w:hAnsi="宋体"/>
          <w:sz w:val="24"/>
        </w:rPr>
      </w:pPr>
      <w:r>
        <w:rPr>
          <w:rFonts w:ascii="宋体" w:hAnsi="宋体" w:hint="eastAsia"/>
          <w:sz w:val="24"/>
        </w:rPr>
        <w:t>五、资讯定制服务</w:t>
      </w:r>
    </w:p>
    <w:p w14:paraId="0418ED95" w14:textId="77777777" w:rsidR="00DD2567" w:rsidRDefault="00680E4C">
      <w:pPr>
        <w:spacing w:line="360" w:lineRule="auto"/>
        <w:ind w:firstLineChars="200" w:firstLine="480"/>
        <w:rPr>
          <w:rFonts w:ascii="宋体" w:hAnsi="宋体"/>
          <w:sz w:val="24"/>
        </w:rPr>
      </w:pPr>
      <w:r>
        <w:rPr>
          <w:rFonts w:ascii="宋体" w:hAnsi="宋体" w:hint="eastAsia"/>
          <w:sz w:val="24"/>
        </w:rPr>
        <w:t>1、手机短信服务</w:t>
      </w:r>
    </w:p>
    <w:p w14:paraId="4B5F28C5" w14:textId="77777777" w:rsidR="00DD2567" w:rsidRDefault="00680E4C">
      <w:pPr>
        <w:spacing w:line="360" w:lineRule="auto"/>
        <w:ind w:firstLineChars="200" w:firstLine="480"/>
        <w:rPr>
          <w:rFonts w:ascii="宋体" w:hAnsi="宋体"/>
          <w:sz w:val="24"/>
        </w:rPr>
      </w:pPr>
      <w:r>
        <w:rPr>
          <w:rFonts w:ascii="宋体" w:hAnsi="宋体" w:hint="eastAsia"/>
          <w:sz w:val="24"/>
        </w:rPr>
        <w:t>基金份额持有人可以通过本基金管理人网站和客户服务热线人工应答预留手机号码，按需要定制短信内容并选择发送频率，我们将根据定制要求提供相应服务。</w:t>
      </w:r>
    </w:p>
    <w:p w14:paraId="1CABFDE3" w14:textId="77777777" w:rsidR="00DD2567" w:rsidRDefault="00680E4C">
      <w:pPr>
        <w:spacing w:line="360" w:lineRule="auto"/>
        <w:ind w:firstLineChars="200" w:firstLine="480"/>
        <w:rPr>
          <w:rFonts w:ascii="宋体" w:hAnsi="宋体"/>
          <w:sz w:val="24"/>
        </w:rPr>
      </w:pPr>
      <w:r>
        <w:rPr>
          <w:rFonts w:ascii="宋体" w:hAnsi="宋体" w:hint="eastAsia"/>
          <w:sz w:val="24"/>
        </w:rPr>
        <w:t>2、电子邮件服务</w:t>
      </w:r>
    </w:p>
    <w:p w14:paraId="0D37ABA9" w14:textId="77777777" w:rsidR="00DD2567" w:rsidRDefault="00680E4C">
      <w:pPr>
        <w:spacing w:line="360" w:lineRule="auto"/>
        <w:ind w:firstLineChars="200" w:firstLine="480"/>
        <w:rPr>
          <w:rFonts w:ascii="宋体" w:hAnsi="宋体"/>
          <w:sz w:val="24"/>
        </w:rPr>
      </w:pPr>
      <w:r>
        <w:rPr>
          <w:rFonts w:ascii="宋体" w:hAnsi="宋体" w:hint="eastAsia"/>
          <w:sz w:val="24"/>
        </w:rPr>
        <w:t>基金份额持有人可以在本基金管理人网站注册，登录定制所需要的各类公开信息。如果留下个人邮箱，将会收到定制的信息。</w:t>
      </w:r>
    </w:p>
    <w:p w14:paraId="2BC11CBB" w14:textId="77777777" w:rsidR="00DD2567" w:rsidRDefault="00680E4C">
      <w:pPr>
        <w:spacing w:line="360" w:lineRule="auto"/>
        <w:ind w:left="480"/>
        <w:rPr>
          <w:rFonts w:ascii="宋体" w:hAnsi="宋体"/>
          <w:sz w:val="24"/>
        </w:rPr>
      </w:pPr>
      <w:r>
        <w:rPr>
          <w:rFonts w:ascii="宋体" w:hAnsi="宋体" w:hint="eastAsia"/>
          <w:sz w:val="24"/>
        </w:rPr>
        <w:t>六、客户服务中心项目</w:t>
      </w:r>
    </w:p>
    <w:p w14:paraId="2A77FD77" w14:textId="77777777" w:rsidR="00DD2567" w:rsidRDefault="00680E4C">
      <w:pPr>
        <w:spacing w:line="360" w:lineRule="auto"/>
        <w:ind w:firstLineChars="200" w:firstLine="480"/>
        <w:rPr>
          <w:rFonts w:ascii="宋体" w:hAnsi="宋体"/>
          <w:sz w:val="24"/>
        </w:rPr>
      </w:pPr>
      <w:r>
        <w:rPr>
          <w:rFonts w:ascii="宋体" w:hAnsi="宋体" w:hint="eastAsia"/>
          <w:sz w:val="24"/>
        </w:rPr>
        <w:t>1、客户服务电话</w:t>
      </w:r>
    </w:p>
    <w:p w14:paraId="5843754D" w14:textId="77777777" w:rsidR="00DD2567" w:rsidRDefault="00680E4C">
      <w:pPr>
        <w:spacing w:line="360" w:lineRule="auto"/>
        <w:ind w:firstLineChars="200" w:firstLine="480"/>
        <w:rPr>
          <w:rFonts w:ascii="宋体" w:hAnsi="宋体"/>
          <w:sz w:val="24"/>
        </w:rPr>
      </w:pPr>
      <w:r>
        <w:rPr>
          <w:rFonts w:ascii="宋体" w:hAnsi="宋体" w:hint="eastAsia"/>
          <w:sz w:val="24"/>
        </w:rPr>
        <w:t>投资人如果想了解申购与赎回的交易情况、基金帐户余额、基金产品与服务等信息，可拨打客户服务热线：</w:t>
      </w:r>
      <w:r>
        <w:rPr>
          <w:rFonts w:ascii="宋体" w:hAnsi="宋体"/>
          <w:sz w:val="24"/>
        </w:rPr>
        <w:t>400-067-9908</w:t>
      </w:r>
      <w:r>
        <w:rPr>
          <w:rFonts w:ascii="宋体" w:hAnsi="宋体" w:hint="eastAsia"/>
          <w:sz w:val="24"/>
        </w:rPr>
        <w:t>（免长途话费），</w:t>
      </w:r>
      <w:r>
        <w:rPr>
          <w:rFonts w:ascii="宋体" w:hAnsi="宋体"/>
          <w:sz w:val="24"/>
        </w:rPr>
        <w:t>021-60359000</w:t>
      </w:r>
      <w:r>
        <w:rPr>
          <w:rFonts w:ascii="宋体" w:hAnsi="宋体" w:hint="eastAsia"/>
          <w:sz w:val="24"/>
        </w:rPr>
        <w:t>。</w:t>
      </w:r>
    </w:p>
    <w:p w14:paraId="2EF7F838" w14:textId="77777777" w:rsidR="00DD2567" w:rsidRDefault="00680E4C">
      <w:pPr>
        <w:spacing w:line="360" w:lineRule="auto"/>
        <w:ind w:firstLineChars="200" w:firstLine="480"/>
        <w:rPr>
          <w:rFonts w:ascii="宋体" w:hAnsi="宋体"/>
          <w:sz w:val="24"/>
        </w:rPr>
      </w:pPr>
      <w:r>
        <w:rPr>
          <w:rFonts w:ascii="宋体" w:hAnsi="宋体" w:hint="eastAsia"/>
          <w:sz w:val="24"/>
        </w:rPr>
        <w:lastRenderedPageBreak/>
        <w:t>2、互联网站及电子信箱</w:t>
      </w:r>
    </w:p>
    <w:p w14:paraId="79FA4FBC" w14:textId="77777777" w:rsidR="00DD2567" w:rsidRDefault="00680E4C">
      <w:pPr>
        <w:spacing w:line="360" w:lineRule="auto"/>
        <w:ind w:firstLineChars="200" w:firstLine="480"/>
        <w:rPr>
          <w:rFonts w:ascii="宋体" w:hAnsi="宋体"/>
          <w:sz w:val="24"/>
        </w:rPr>
      </w:pPr>
      <w:r>
        <w:rPr>
          <w:rFonts w:ascii="宋体" w:hAnsi="宋体" w:hint="eastAsia"/>
          <w:sz w:val="24"/>
        </w:rPr>
        <w:t>公司网址：</w:t>
      </w:r>
      <w:hyperlink r:id="rId14" w:history="1">
        <w:r>
          <w:rPr>
            <w:rStyle w:val="af0"/>
            <w:rFonts w:ascii="宋体" w:hAnsi="宋体" w:hint="eastAsia"/>
            <w:sz w:val="24"/>
          </w:rPr>
          <w:t>http://www.zsfund.com</w:t>
        </w:r>
      </w:hyperlink>
    </w:p>
    <w:p w14:paraId="12D1E5DF" w14:textId="77777777" w:rsidR="00DD2567" w:rsidRDefault="00680E4C">
      <w:pPr>
        <w:spacing w:line="360" w:lineRule="auto"/>
        <w:ind w:firstLineChars="200" w:firstLine="480"/>
        <w:rPr>
          <w:rFonts w:ascii="宋体" w:hAnsi="宋体"/>
          <w:sz w:val="24"/>
        </w:rPr>
      </w:pPr>
      <w:r>
        <w:rPr>
          <w:rFonts w:ascii="宋体" w:hAnsi="宋体" w:hint="eastAsia"/>
          <w:sz w:val="24"/>
        </w:rPr>
        <w:t>电子信箱：</w:t>
      </w:r>
      <w:hyperlink r:id="rId15" w:history="1">
        <w:r>
          <w:rPr>
            <w:rStyle w:val="af0"/>
            <w:rFonts w:ascii="宋体" w:hAnsi="宋体" w:hint="eastAsia"/>
            <w:sz w:val="24"/>
          </w:rPr>
          <w:t>services@zsfund.com</w:t>
        </w:r>
      </w:hyperlink>
    </w:p>
    <w:p w14:paraId="196C582F" w14:textId="77777777" w:rsidR="00DD2567" w:rsidRDefault="00680E4C">
      <w:pPr>
        <w:spacing w:line="360" w:lineRule="auto"/>
        <w:ind w:left="480"/>
        <w:rPr>
          <w:rFonts w:ascii="宋体" w:hAnsi="宋体"/>
          <w:sz w:val="24"/>
        </w:rPr>
      </w:pPr>
      <w:r>
        <w:rPr>
          <w:rFonts w:ascii="宋体" w:hAnsi="宋体" w:hint="eastAsia"/>
          <w:sz w:val="24"/>
        </w:rPr>
        <w:t>七、客户投诉处理</w:t>
      </w:r>
    </w:p>
    <w:p w14:paraId="6C7FB114" w14:textId="77777777" w:rsidR="00DD2567" w:rsidRDefault="00680E4C">
      <w:pPr>
        <w:spacing w:line="360" w:lineRule="auto"/>
        <w:ind w:firstLineChars="200" w:firstLine="480"/>
        <w:rPr>
          <w:rFonts w:ascii="宋体" w:hAnsi="宋体"/>
          <w:sz w:val="24"/>
        </w:rPr>
      </w:pPr>
      <w:r>
        <w:rPr>
          <w:rFonts w:ascii="宋体" w:hAnsi="宋体" w:hint="eastAsia"/>
          <w:sz w:val="24"/>
        </w:rPr>
        <w:t>基金份额持有人可以通过基金管理人提供客户服务电话、书信、电子邮件、传真等渠道对基金管理人和销售机构所提供的服务进行投诉。</w:t>
      </w:r>
    </w:p>
    <w:p w14:paraId="79B93A55" w14:textId="77777777" w:rsidR="00DD2567" w:rsidRDefault="00680E4C">
      <w:pPr>
        <w:spacing w:line="360" w:lineRule="auto"/>
        <w:ind w:firstLineChars="200" w:firstLine="480"/>
        <w:rPr>
          <w:rFonts w:ascii="宋体" w:hAnsi="宋体"/>
          <w:sz w:val="24"/>
        </w:rPr>
      </w:pPr>
      <w:r>
        <w:rPr>
          <w:rFonts w:ascii="宋体" w:hAnsi="宋体" w:hint="eastAsia"/>
          <w:sz w:val="24"/>
        </w:rPr>
        <w:t>基金份额持有人还可以通过代销机构的服务电话对该代销机构提供的服务进行投诉。</w:t>
      </w:r>
    </w:p>
    <w:p w14:paraId="51FFC8A3" w14:textId="77777777" w:rsidR="00DD2567" w:rsidRDefault="00680E4C">
      <w:pPr>
        <w:pStyle w:val="a5"/>
        <w:snapToGrid w:val="0"/>
        <w:spacing w:after="78" w:line="360" w:lineRule="auto"/>
        <w:ind w:firstLine="480"/>
        <w:rPr>
          <w:rFonts w:ascii="宋体" w:hAnsi="宋体"/>
          <w:sz w:val="24"/>
          <w:szCs w:val="24"/>
        </w:rPr>
      </w:pPr>
      <w:r>
        <w:rPr>
          <w:rFonts w:ascii="宋体" w:hAnsi="宋体" w:hint="eastAsia"/>
          <w:sz w:val="24"/>
          <w:szCs w:val="24"/>
        </w:rPr>
        <w:t>投资者可以通过基金管理人客户服务中心人工热线、在线客服、书信、电子邮件、短信、传真及各销售机构网点柜台等不同的渠道对基金管理人和销售网点所提供的服务进行投诉或提出建议。</w:t>
      </w:r>
    </w:p>
    <w:p w14:paraId="5CC0F57F" w14:textId="77777777" w:rsidR="00DD2567" w:rsidRDefault="00DD2567">
      <w:pPr>
        <w:spacing w:line="360" w:lineRule="auto"/>
        <w:ind w:firstLineChars="200" w:firstLine="480"/>
        <w:rPr>
          <w:bCs/>
          <w:sz w:val="24"/>
        </w:rPr>
      </w:pPr>
    </w:p>
    <w:p w14:paraId="7196F2A2" w14:textId="77777777" w:rsidR="00DD2567" w:rsidRDefault="00DD2567" w:rsidP="005B107A">
      <w:pPr>
        <w:spacing w:line="360" w:lineRule="auto"/>
        <w:ind w:firstLineChars="200" w:firstLine="480"/>
        <w:rPr>
          <w:bCs/>
          <w:sz w:val="24"/>
        </w:rPr>
      </w:pPr>
    </w:p>
    <w:p w14:paraId="46E72777" w14:textId="77777777" w:rsidR="00DD2567" w:rsidRDefault="00DD2567">
      <w:pPr>
        <w:spacing w:line="360" w:lineRule="auto"/>
        <w:ind w:firstLineChars="200" w:firstLine="480"/>
        <w:rPr>
          <w:bCs/>
          <w:sz w:val="24"/>
        </w:rPr>
      </w:pPr>
    </w:p>
    <w:p w14:paraId="2CE1C863" w14:textId="0DE6F7B5" w:rsidR="00DD2567" w:rsidRDefault="00680E4C">
      <w:pPr>
        <w:pStyle w:val="1"/>
        <w:spacing w:before="0" w:after="0"/>
        <w:jc w:val="center"/>
        <w:rPr>
          <w:rFonts w:ascii="Times New Roman"/>
          <w:color w:val="auto"/>
          <w:sz w:val="30"/>
        </w:rPr>
      </w:pPr>
      <w:r>
        <w:rPr>
          <w:rFonts w:ascii="Times New Roman"/>
          <w:b w:val="0"/>
          <w:bCs/>
          <w:color w:val="auto"/>
        </w:rPr>
        <w:br w:type="page"/>
      </w:r>
      <w:bookmarkStart w:id="371" w:name="_Toc25651"/>
      <w:bookmarkStart w:id="372" w:name="_Toc6202"/>
      <w:bookmarkStart w:id="373" w:name="_Toc8636"/>
      <w:bookmarkStart w:id="374" w:name="_Toc3319"/>
      <w:bookmarkStart w:id="375" w:name="_Toc23999"/>
      <w:bookmarkStart w:id="376" w:name="_Toc21983"/>
      <w:bookmarkStart w:id="377" w:name="_Toc30350"/>
      <w:bookmarkStart w:id="378" w:name="_Toc24923"/>
      <w:bookmarkStart w:id="379" w:name="_Toc7288"/>
      <w:bookmarkStart w:id="380" w:name="_Toc141703902"/>
      <w:bookmarkStart w:id="381" w:name="_Toc139991751"/>
      <w:bookmarkStart w:id="382" w:name="_Toc123112249"/>
      <w:bookmarkStart w:id="383" w:name="_Toc123102468"/>
      <w:bookmarkStart w:id="384" w:name="_Toc123051467"/>
      <w:bookmarkStart w:id="385" w:name="_Toc98560366"/>
      <w:bookmarkStart w:id="386" w:name="_Toc1790"/>
      <w:bookmarkStart w:id="387" w:name="_Toc342469910"/>
      <w:r>
        <w:rPr>
          <w:rFonts w:ascii="Times New Roman"/>
          <w:color w:val="auto"/>
          <w:sz w:val="30"/>
        </w:rPr>
        <w:lastRenderedPageBreak/>
        <w:t>第二十一部分</w:t>
      </w:r>
      <w:r w:rsidR="007B4A6C">
        <w:rPr>
          <w:rFonts w:ascii="Times New Roman" w:hint="eastAsia"/>
          <w:color w:val="auto"/>
          <w:sz w:val="30"/>
        </w:rPr>
        <w:t xml:space="preserve"> </w:t>
      </w:r>
      <w:r>
        <w:rPr>
          <w:rFonts w:ascii="Times New Roman" w:hint="eastAsia"/>
          <w:color w:val="auto"/>
          <w:sz w:val="30"/>
        </w:rPr>
        <w:t>其他应披露事项</w:t>
      </w:r>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14:paraId="6CD154BB" w14:textId="77777777" w:rsidR="00DD2567" w:rsidRDefault="00DD2567">
      <w:pPr>
        <w:spacing w:line="360" w:lineRule="auto"/>
        <w:ind w:firstLineChars="200" w:firstLine="480"/>
        <w:rPr>
          <w:bCs/>
          <w:sz w:val="24"/>
        </w:rPr>
      </w:pPr>
    </w:p>
    <w:tbl>
      <w:tblPr>
        <w:tblW w:w="11341" w:type="dxa"/>
        <w:tblInd w:w="-1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8646"/>
        <w:gridCol w:w="1985"/>
      </w:tblGrid>
      <w:tr w:rsidR="00690813" w14:paraId="5BA80C90" w14:textId="77777777" w:rsidTr="00C826D7">
        <w:tc>
          <w:tcPr>
            <w:tcW w:w="710" w:type="dxa"/>
            <w:tcBorders>
              <w:top w:val="single" w:sz="4" w:space="0" w:color="auto"/>
              <w:left w:val="single" w:sz="4" w:space="0" w:color="auto"/>
              <w:bottom w:val="single" w:sz="4" w:space="0" w:color="auto"/>
              <w:right w:val="single" w:sz="4" w:space="0" w:color="auto"/>
            </w:tcBorders>
            <w:vAlign w:val="center"/>
          </w:tcPr>
          <w:p w14:paraId="143A5236" w14:textId="77777777" w:rsidR="00690813" w:rsidRDefault="00690813" w:rsidP="00C826D7">
            <w:pPr>
              <w:spacing w:line="360" w:lineRule="auto"/>
              <w:rPr>
                <w:rFonts w:ascii="宋体" w:hAnsi="宋体"/>
                <w:szCs w:val="21"/>
              </w:rPr>
            </w:pPr>
            <w:r>
              <w:rPr>
                <w:rFonts w:ascii="宋体" w:hAnsi="宋体" w:hint="eastAsia"/>
                <w:szCs w:val="21"/>
              </w:rPr>
              <w:t>序号</w:t>
            </w:r>
          </w:p>
        </w:tc>
        <w:tc>
          <w:tcPr>
            <w:tcW w:w="8646" w:type="dxa"/>
            <w:tcBorders>
              <w:top w:val="single" w:sz="4" w:space="0" w:color="auto"/>
              <w:left w:val="single" w:sz="4" w:space="0" w:color="auto"/>
              <w:bottom w:val="single" w:sz="4" w:space="0" w:color="auto"/>
              <w:right w:val="single" w:sz="4" w:space="0" w:color="auto"/>
            </w:tcBorders>
            <w:vAlign w:val="center"/>
          </w:tcPr>
          <w:p w14:paraId="1C7097F1" w14:textId="77777777" w:rsidR="00690813" w:rsidRDefault="00690813" w:rsidP="00C826D7">
            <w:pPr>
              <w:spacing w:line="360" w:lineRule="auto"/>
              <w:rPr>
                <w:rFonts w:ascii="宋体" w:hAnsi="宋体"/>
                <w:szCs w:val="21"/>
              </w:rPr>
            </w:pPr>
            <w:r>
              <w:rPr>
                <w:rFonts w:ascii="宋体" w:hAnsi="宋体" w:hint="eastAsia"/>
                <w:szCs w:val="21"/>
              </w:rPr>
              <w:t>公告事项</w:t>
            </w:r>
          </w:p>
        </w:tc>
        <w:tc>
          <w:tcPr>
            <w:tcW w:w="1985" w:type="dxa"/>
            <w:tcBorders>
              <w:top w:val="single" w:sz="4" w:space="0" w:color="auto"/>
              <w:left w:val="single" w:sz="4" w:space="0" w:color="auto"/>
              <w:bottom w:val="single" w:sz="4" w:space="0" w:color="auto"/>
              <w:right w:val="single" w:sz="4" w:space="0" w:color="auto"/>
            </w:tcBorders>
            <w:vAlign w:val="center"/>
          </w:tcPr>
          <w:p w14:paraId="2681C67A" w14:textId="77777777" w:rsidR="00690813" w:rsidRDefault="00690813" w:rsidP="00C826D7">
            <w:pPr>
              <w:spacing w:line="360" w:lineRule="auto"/>
              <w:rPr>
                <w:rFonts w:ascii="宋体" w:hAnsi="宋体"/>
                <w:szCs w:val="21"/>
              </w:rPr>
            </w:pPr>
            <w:r>
              <w:rPr>
                <w:rFonts w:ascii="宋体" w:hAnsi="宋体" w:hint="eastAsia"/>
                <w:szCs w:val="21"/>
              </w:rPr>
              <w:t>披露日期</w:t>
            </w:r>
          </w:p>
        </w:tc>
      </w:tr>
      <w:tr w:rsidR="00C4388B" w:rsidRPr="00C4388B" w14:paraId="760E64F6"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651751C6"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1</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4AA9044D"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浙商聚潮灵活配置混合型证券投资基金 基金合同生效公告</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5116E2FA"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2016/05/12</w:t>
            </w:r>
          </w:p>
        </w:tc>
      </w:tr>
      <w:tr w:rsidR="00C4388B" w:rsidRPr="00C4388B" w14:paraId="35704569"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14430E6"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5014A106"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浙商基金管理有限公司关于旗下基金 所持雷鸣科化（600985）股票估值调整的公告</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4272493B"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2016/05/12</w:t>
            </w:r>
          </w:p>
        </w:tc>
      </w:tr>
      <w:tr w:rsidR="00C4388B" w:rsidRPr="00C4388B" w14:paraId="1D70B863"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F2392FB"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3</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02CA65C1" w14:textId="77777777" w:rsidR="00C4388B" w:rsidRPr="00C4388B" w:rsidRDefault="00C4388B" w:rsidP="00C4388B">
            <w:pPr>
              <w:spacing w:line="360" w:lineRule="auto"/>
              <w:rPr>
                <w:rFonts w:ascii="宋体" w:hAnsi="宋体"/>
                <w:szCs w:val="21"/>
              </w:rPr>
            </w:pPr>
            <w:hyperlink r:id="rId16" w:tooltip="浙商聚潮灵活配置混合型证券投资基金开放日常申购、赎回业务公告" w:history="1">
              <w:r w:rsidRPr="00C4388B">
                <w:rPr>
                  <w:rStyle w:val="af0"/>
                  <w:rFonts w:ascii="宋体" w:hAnsi="宋体" w:hint="eastAsia"/>
                  <w:szCs w:val="21"/>
                </w:rPr>
                <w:t>浙商聚潮灵活配置混合型证券投资基金开放日常申购、赎回业务公告</w:t>
              </w:r>
            </w:hyperlink>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9AE43EE"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2016/05/28</w:t>
            </w:r>
          </w:p>
        </w:tc>
      </w:tr>
      <w:tr w:rsidR="00C4388B" w:rsidRPr="00C4388B" w14:paraId="3D8F77DC"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85E7DEB"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4</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2C114C95"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浙商基金管理有限公司关于以通讯方式召开浙商聚潮灵活配置混合型 证券投资基金基金份额持有人大会的公告</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EB3AA0D"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2016/06/20</w:t>
            </w:r>
          </w:p>
        </w:tc>
      </w:tr>
      <w:tr w:rsidR="00C4388B" w:rsidRPr="00C4388B" w14:paraId="6684B974"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43F6032C"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5</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4FE47711"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浙商基金管理有限公司关于以通讯方式召开浙商聚潮灵活配置混合型 证券投资基金基金份额持有人大会的第一次提示性公告</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0AB896FA"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2016/06/20</w:t>
            </w:r>
          </w:p>
        </w:tc>
      </w:tr>
      <w:tr w:rsidR="00C4388B" w:rsidRPr="00C4388B" w14:paraId="6FB8F051"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CCB7FAB"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6</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75ED8581"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浙商基金管理有限公司关于以通讯方式召开浙商聚潮灵活配置混合型 证券投资基金基金份额持有人大会的第二次提示性公告</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3427A385"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2016/06/20</w:t>
            </w:r>
          </w:p>
        </w:tc>
      </w:tr>
      <w:tr w:rsidR="00C4388B" w:rsidRPr="00C4388B" w14:paraId="5D9F2371"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4E84CD0"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7</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7ED784ED"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浙商基金2016年半年度最后一个交易日 基金资产净值等公告</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D136F3C"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2016/07/01</w:t>
            </w:r>
          </w:p>
        </w:tc>
      </w:tr>
      <w:tr w:rsidR="00C4388B" w:rsidRPr="00C4388B" w14:paraId="0AFCEF5A"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3D1F8D4D"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8</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7E7CA859"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浙商基金管理有限公司关于旗下基金 所持格力电器（000651）股票估值调整的公告</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0F535552"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2016/07/08</w:t>
            </w:r>
          </w:p>
        </w:tc>
      </w:tr>
      <w:tr w:rsidR="00C4388B" w:rsidRPr="00C4388B" w14:paraId="07F2F059"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4770AE4"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9</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05E99357"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浙商基金管理有限公司关于浙商聚潮灵活配置混合型 证券投资基金基金份额持有人大会表决结果 暨决议生效的公告</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CC62128"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2016/07/26</w:t>
            </w:r>
          </w:p>
        </w:tc>
      </w:tr>
      <w:tr w:rsidR="00C4388B" w:rsidRPr="00C4388B" w14:paraId="6A48E75F"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DFB40B4"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10</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7AEDFFF8" w14:textId="77777777" w:rsidR="00C4388B" w:rsidRPr="00C4388B" w:rsidRDefault="00C4388B" w:rsidP="00C4388B">
            <w:pPr>
              <w:spacing w:line="360" w:lineRule="auto"/>
              <w:rPr>
                <w:rFonts w:ascii="宋体" w:hAnsi="宋体"/>
                <w:szCs w:val="21"/>
              </w:rPr>
            </w:pPr>
            <w:hyperlink r:id="rId17" w:tooltip="浙商聚潮灵活配置混合型证券投资基金限制大额申购业务的公告" w:history="1">
              <w:r w:rsidRPr="00C4388B">
                <w:rPr>
                  <w:rStyle w:val="af0"/>
                  <w:rFonts w:ascii="宋体" w:hAnsi="宋体" w:hint="eastAsia"/>
                  <w:szCs w:val="21"/>
                </w:rPr>
                <w:t>浙商聚潮灵活配置混合型证券投资基金限制大额申购业务的公告</w:t>
              </w:r>
            </w:hyperlink>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1781D158"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2016/09/02</w:t>
            </w:r>
          </w:p>
        </w:tc>
      </w:tr>
      <w:tr w:rsidR="00C4388B" w:rsidRPr="00C4388B" w14:paraId="1525C8AF" w14:textId="77777777" w:rsidTr="00C438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9E10F84"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11</w:t>
            </w:r>
          </w:p>
        </w:tc>
        <w:tc>
          <w:tcPr>
            <w:tcW w:w="8646" w:type="dxa"/>
            <w:tcBorders>
              <w:top w:val="single" w:sz="4" w:space="0" w:color="auto"/>
              <w:left w:val="single" w:sz="4" w:space="0" w:color="auto"/>
              <w:bottom w:val="single" w:sz="4" w:space="0" w:color="auto"/>
              <w:right w:val="single" w:sz="4" w:space="0" w:color="auto"/>
            </w:tcBorders>
            <w:shd w:val="clear" w:color="auto" w:fill="auto"/>
            <w:vAlign w:val="center"/>
          </w:tcPr>
          <w:p w14:paraId="1A1CF2ED" w14:textId="77777777" w:rsidR="00C4388B" w:rsidRPr="00C4388B" w:rsidRDefault="00C4388B" w:rsidP="00C4388B">
            <w:pPr>
              <w:spacing w:line="360" w:lineRule="auto"/>
              <w:rPr>
                <w:rFonts w:ascii="宋体" w:hAnsi="宋体"/>
                <w:szCs w:val="21"/>
              </w:rPr>
            </w:pPr>
            <w:hyperlink r:id="rId18" w:tooltip="浙商聚潮灵活配置混合型证券投资基金2016年第三季度报告" w:history="1">
              <w:r w:rsidRPr="00C4388B">
                <w:rPr>
                  <w:rStyle w:val="af0"/>
                  <w:rFonts w:ascii="宋体" w:hAnsi="宋体" w:hint="eastAsia"/>
                  <w:szCs w:val="21"/>
                </w:rPr>
                <w:t>浙商聚潮灵活配置混合型证券投资基金2016年第三季度报告</w:t>
              </w:r>
            </w:hyperlink>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3A03BDF" w14:textId="77777777" w:rsidR="00C4388B" w:rsidRPr="00C4388B" w:rsidRDefault="00C4388B" w:rsidP="00C4388B">
            <w:pPr>
              <w:spacing w:line="360" w:lineRule="auto"/>
              <w:rPr>
                <w:rFonts w:ascii="宋体" w:hAnsi="宋体"/>
                <w:szCs w:val="21"/>
              </w:rPr>
            </w:pPr>
            <w:r w:rsidRPr="00C4388B">
              <w:rPr>
                <w:rFonts w:ascii="宋体" w:hAnsi="宋体" w:hint="eastAsia"/>
                <w:szCs w:val="21"/>
              </w:rPr>
              <w:t>2016/10/25</w:t>
            </w:r>
          </w:p>
        </w:tc>
      </w:tr>
    </w:tbl>
    <w:p w14:paraId="61548D56" w14:textId="368CAB27" w:rsidR="007B4A6C" w:rsidRDefault="007B4A6C">
      <w:pPr>
        <w:widowControl/>
        <w:jc w:val="left"/>
        <w:rPr>
          <w:bCs/>
          <w:sz w:val="24"/>
        </w:rPr>
      </w:pPr>
      <w:r>
        <w:rPr>
          <w:bCs/>
          <w:sz w:val="24"/>
        </w:rPr>
        <w:br w:type="page"/>
      </w:r>
    </w:p>
    <w:p w14:paraId="4D8EBCED" w14:textId="77777777" w:rsidR="00DD2567" w:rsidRDefault="00DD2567">
      <w:pPr>
        <w:spacing w:line="360" w:lineRule="auto"/>
        <w:ind w:firstLineChars="200" w:firstLine="480"/>
        <w:rPr>
          <w:bCs/>
          <w:sz w:val="24"/>
        </w:rPr>
      </w:pPr>
    </w:p>
    <w:p w14:paraId="03BF1927" w14:textId="70B99DAA" w:rsidR="00DD2567" w:rsidRDefault="00680E4C">
      <w:pPr>
        <w:pStyle w:val="1"/>
        <w:spacing w:before="0" w:after="0"/>
        <w:jc w:val="center"/>
        <w:rPr>
          <w:rFonts w:ascii="Times New Roman"/>
          <w:color w:val="auto"/>
          <w:sz w:val="30"/>
        </w:rPr>
      </w:pPr>
      <w:bookmarkStart w:id="388" w:name="_Toc123112250"/>
      <w:bookmarkStart w:id="389" w:name="_Toc2532"/>
      <w:bookmarkStart w:id="390" w:name="_Toc11618"/>
      <w:bookmarkStart w:id="391" w:name="_Toc484"/>
      <w:bookmarkStart w:id="392" w:name="_Toc23991"/>
      <w:bookmarkStart w:id="393" w:name="_Toc8703"/>
      <w:bookmarkStart w:id="394" w:name="_Toc31966"/>
      <w:bookmarkStart w:id="395" w:name="_Toc139991752"/>
      <w:bookmarkStart w:id="396" w:name="_Toc29505"/>
      <w:bookmarkStart w:id="397" w:name="_Toc141703903"/>
      <w:bookmarkStart w:id="398" w:name="_Toc26461"/>
      <w:bookmarkStart w:id="399" w:name="_Toc8454"/>
      <w:bookmarkStart w:id="400" w:name="_Toc123051468"/>
      <w:bookmarkStart w:id="401" w:name="_Toc123102469"/>
      <w:bookmarkStart w:id="402" w:name="_Toc20350"/>
      <w:bookmarkStart w:id="403" w:name="_Toc342469911"/>
      <w:r>
        <w:rPr>
          <w:rFonts w:ascii="Times New Roman"/>
          <w:color w:val="auto"/>
          <w:sz w:val="30"/>
        </w:rPr>
        <w:t>第二十二部分</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sidR="007B4A6C">
        <w:rPr>
          <w:rFonts w:ascii="Times New Roman" w:hint="eastAsia"/>
          <w:color w:val="auto"/>
          <w:sz w:val="30"/>
        </w:rPr>
        <w:t xml:space="preserve"> </w:t>
      </w:r>
      <w:r>
        <w:rPr>
          <w:rFonts w:ascii="Times New Roman" w:hint="eastAsia"/>
          <w:color w:val="auto"/>
          <w:sz w:val="30"/>
        </w:rPr>
        <w:t>招募说明书存放及其查阅方式</w:t>
      </w:r>
      <w:bookmarkEnd w:id="403"/>
    </w:p>
    <w:p w14:paraId="553498C6" w14:textId="77777777" w:rsidR="00DD2567" w:rsidRDefault="00DD2567">
      <w:pPr>
        <w:spacing w:line="360" w:lineRule="auto"/>
        <w:ind w:firstLineChars="200" w:firstLine="480"/>
        <w:rPr>
          <w:bCs/>
          <w:sz w:val="24"/>
        </w:rPr>
      </w:pPr>
    </w:p>
    <w:p w14:paraId="5DD5D931" w14:textId="77777777" w:rsidR="00DD2567" w:rsidRDefault="00680E4C">
      <w:pPr>
        <w:snapToGrid w:val="0"/>
        <w:spacing w:line="360" w:lineRule="auto"/>
        <w:ind w:firstLineChars="200" w:firstLine="480"/>
        <w:rPr>
          <w:rFonts w:ascii="宋体" w:hAnsi="宋体"/>
          <w:sz w:val="24"/>
        </w:rPr>
      </w:pPr>
      <w:r>
        <w:rPr>
          <w:rFonts w:ascii="宋体" w:hAnsi="宋体" w:hint="eastAsia"/>
          <w:sz w:val="24"/>
        </w:rPr>
        <w:t>招募说明书存放在基金管理人的办公场所，投资者可在办公时间查阅；投资者在支付工本费后，可在合理时间内取得上述文件复制件或复印件。对投资者按此种方式所获得的文件及其复印件，基金管理人保证文本的内容与所公告的内容完全一致。</w:t>
      </w:r>
    </w:p>
    <w:p w14:paraId="6FFA10E7" w14:textId="77777777" w:rsidR="00DD2567" w:rsidRDefault="00680E4C">
      <w:pPr>
        <w:snapToGrid w:val="0"/>
        <w:spacing w:line="360" w:lineRule="auto"/>
        <w:ind w:firstLineChars="200" w:firstLine="480"/>
        <w:rPr>
          <w:rFonts w:ascii="宋体" w:hAnsi="宋体"/>
          <w:sz w:val="24"/>
        </w:rPr>
      </w:pPr>
      <w:r>
        <w:rPr>
          <w:rFonts w:ascii="宋体" w:hAnsi="宋体" w:hint="eastAsia"/>
          <w:sz w:val="24"/>
        </w:rPr>
        <w:t>投资者还可以直接登录基金管理人的网站（</w:t>
      </w:r>
      <w:hyperlink r:id="rId19" w:history="1">
        <w:r>
          <w:rPr>
            <w:rStyle w:val="af0"/>
            <w:rFonts w:ascii="宋体" w:hAnsi="宋体" w:hint="eastAsia"/>
            <w:sz w:val="24"/>
          </w:rPr>
          <w:t>http://www.zsfund.com</w:t>
        </w:r>
      </w:hyperlink>
      <w:r>
        <w:rPr>
          <w:rFonts w:ascii="宋体" w:hAnsi="宋体" w:hint="eastAsia"/>
          <w:sz w:val="24"/>
        </w:rPr>
        <w:t>）查阅和下载招募说明书。</w:t>
      </w:r>
    </w:p>
    <w:p w14:paraId="67676188" w14:textId="1BE26478" w:rsidR="00DD2567" w:rsidRDefault="00680E4C">
      <w:pPr>
        <w:pStyle w:val="1"/>
        <w:spacing w:before="0" w:after="0"/>
        <w:jc w:val="center"/>
        <w:rPr>
          <w:rFonts w:ascii="Times New Roman"/>
          <w:color w:val="auto"/>
          <w:sz w:val="30"/>
        </w:rPr>
      </w:pPr>
      <w:r>
        <w:rPr>
          <w:rFonts w:ascii="Times New Roman"/>
          <w:b w:val="0"/>
          <w:bCs/>
          <w:color w:val="auto"/>
        </w:rPr>
        <w:br w:type="page"/>
      </w:r>
      <w:bookmarkStart w:id="404" w:name="_Toc21726"/>
      <w:bookmarkStart w:id="405" w:name="_Toc342469912"/>
      <w:r>
        <w:rPr>
          <w:rFonts w:ascii="Times New Roman" w:hint="eastAsia"/>
          <w:color w:val="auto"/>
          <w:sz w:val="30"/>
        </w:rPr>
        <w:lastRenderedPageBreak/>
        <w:t>第二十三部分</w:t>
      </w:r>
      <w:bookmarkEnd w:id="404"/>
      <w:r w:rsidR="007B4A6C">
        <w:rPr>
          <w:rFonts w:ascii="Times New Roman" w:hint="eastAsia"/>
          <w:color w:val="auto"/>
          <w:sz w:val="30"/>
        </w:rPr>
        <w:t xml:space="preserve"> </w:t>
      </w:r>
      <w:r>
        <w:rPr>
          <w:rFonts w:ascii="Times New Roman" w:hint="eastAsia"/>
          <w:color w:val="auto"/>
          <w:sz w:val="30"/>
        </w:rPr>
        <w:t>备查文件</w:t>
      </w:r>
      <w:bookmarkEnd w:id="405"/>
    </w:p>
    <w:p w14:paraId="041582BD" w14:textId="77777777" w:rsidR="00DD2567" w:rsidRDefault="00DD2567">
      <w:pPr>
        <w:spacing w:line="360" w:lineRule="auto"/>
        <w:ind w:firstLineChars="200" w:firstLine="480"/>
        <w:rPr>
          <w:rFonts w:ascii="宋体" w:hAnsi="宋体"/>
          <w:sz w:val="24"/>
        </w:rPr>
      </w:pPr>
    </w:p>
    <w:p w14:paraId="48454874" w14:textId="77777777" w:rsidR="00DD2567" w:rsidRDefault="00680E4C">
      <w:pPr>
        <w:snapToGrid w:val="0"/>
        <w:spacing w:line="360" w:lineRule="auto"/>
        <w:ind w:firstLineChars="177" w:firstLine="425"/>
        <w:rPr>
          <w:rFonts w:ascii="宋体" w:hAnsi="宋体"/>
          <w:color w:val="000000"/>
          <w:sz w:val="24"/>
        </w:rPr>
      </w:pPr>
      <w:r>
        <w:rPr>
          <w:rFonts w:ascii="宋体" w:hAnsi="宋体" w:hint="eastAsia"/>
          <w:color w:val="000000"/>
          <w:sz w:val="24"/>
        </w:rPr>
        <w:t>以下备查文件存放在基金管理人的办公场所，在办公时间可供免费查阅。</w:t>
      </w:r>
    </w:p>
    <w:p w14:paraId="24F96209" w14:textId="77777777" w:rsidR="00DD2567" w:rsidRDefault="00680E4C">
      <w:pPr>
        <w:snapToGrid w:val="0"/>
        <w:spacing w:line="360" w:lineRule="auto"/>
        <w:ind w:firstLineChars="177" w:firstLine="425"/>
        <w:rPr>
          <w:rFonts w:ascii="宋体" w:hAnsi="宋体"/>
          <w:color w:val="000000"/>
          <w:sz w:val="24"/>
        </w:rPr>
      </w:pPr>
      <w:r>
        <w:rPr>
          <w:rFonts w:ascii="宋体" w:hAnsi="宋体" w:hint="eastAsia"/>
          <w:color w:val="000000"/>
          <w:sz w:val="24"/>
        </w:rPr>
        <w:t>1、中国证监会批准浙商聚潮灵活配置混合型证券投资基金募集的文件</w:t>
      </w:r>
    </w:p>
    <w:p w14:paraId="0E32A939" w14:textId="77777777" w:rsidR="00DD2567" w:rsidRDefault="00680E4C">
      <w:pPr>
        <w:snapToGrid w:val="0"/>
        <w:spacing w:line="360" w:lineRule="auto"/>
        <w:ind w:firstLineChars="177" w:firstLine="425"/>
        <w:rPr>
          <w:rFonts w:ascii="宋体" w:hAnsi="宋体"/>
          <w:color w:val="000000"/>
          <w:sz w:val="24"/>
        </w:rPr>
      </w:pPr>
      <w:r>
        <w:rPr>
          <w:rFonts w:ascii="宋体" w:hAnsi="宋体" w:hint="eastAsia"/>
          <w:color w:val="000000"/>
          <w:sz w:val="24"/>
        </w:rPr>
        <w:t>2、《浙商聚潮灵活配置混合型证券投资基金基金合同》</w:t>
      </w:r>
    </w:p>
    <w:p w14:paraId="48929ACA" w14:textId="77777777" w:rsidR="00DD2567" w:rsidRDefault="00680E4C">
      <w:pPr>
        <w:snapToGrid w:val="0"/>
        <w:spacing w:line="360" w:lineRule="auto"/>
        <w:ind w:firstLineChars="177" w:firstLine="425"/>
        <w:rPr>
          <w:rFonts w:ascii="宋体" w:hAnsi="宋体"/>
          <w:color w:val="000000"/>
          <w:sz w:val="24"/>
        </w:rPr>
      </w:pPr>
      <w:r>
        <w:rPr>
          <w:rFonts w:ascii="宋体" w:hAnsi="宋体" w:hint="eastAsia"/>
          <w:color w:val="000000"/>
          <w:sz w:val="24"/>
        </w:rPr>
        <w:t>3、《浙商聚潮灵活配置混合型证券投资基金托管协议》</w:t>
      </w:r>
    </w:p>
    <w:p w14:paraId="3B49223B" w14:textId="77777777" w:rsidR="00DD2567" w:rsidRDefault="00680E4C">
      <w:pPr>
        <w:snapToGrid w:val="0"/>
        <w:spacing w:line="360" w:lineRule="auto"/>
        <w:ind w:firstLineChars="177" w:firstLine="425"/>
        <w:rPr>
          <w:rFonts w:ascii="宋体" w:hAnsi="宋体"/>
          <w:color w:val="000000"/>
          <w:sz w:val="24"/>
        </w:rPr>
      </w:pPr>
      <w:r>
        <w:rPr>
          <w:rFonts w:ascii="宋体" w:hAnsi="宋体" w:hint="eastAsia"/>
          <w:color w:val="000000"/>
          <w:sz w:val="24"/>
        </w:rPr>
        <w:t>4、关于申请募集浙商聚潮灵活配置混合型证券投资基金之法律意见书</w:t>
      </w:r>
    </w:p>
    <w:p w14:paraId="7FB30C05" w14:textId="77777777" w:rsidR="00DD2567" w:rsidRDefault="00680E4C">
      <w:pPr>
        <w:snapToGrid w:val="0"/>
        <w:spacing w:line="360" w:lineRule="auto"/>
        <w:ind w:firstLineChars="177" w:firstLine="425"/>
        <w:rPr>
          <w:rFonts w:ascii="宋体" w:hAnsi="宋体"/>
          <w:color w:val="000000"/>
          <w:sz w:val="24"/>
        </w:rPr>
      </w:pPr>
      <w:r>
        <w:rPr>
          <w:rFonts w:ascii="宋体" w:hAnsi="宋体" w:hint="eastAsia"/>
          <w:color w:val="000000"/>
          <w:sz w:val="24"/>
        </w:rPr>
        <w:t>5、基金管理人业务资格批件、营业执照</w:t>
      </w:r>
    </w:p>
    <w:p w14:paraId="12E10CD0" w14:textId="77777777" w:rsidR="00DD2567" w:rsidRDefault="00680E4C">
      <w:pPr>
        <w:snapToGrid w:val="0"/>
        <w:spacing w:line="360" w:lineRule="auto"/>
        <w:ind w:firstLineChars="177" w:firstLine="425"/>
        <w:rPr>
          <w:rFonts w:ascii="宋体" w:hAnsi="宋体"/>
          <w:color w:val="000000"/>
          <w:sz w:val="24"/>
        </w:rPr>
      </w:pPr>
      <w:r>
        <w:rPr>
          <w:rFonts w:ascii="宋体" w:hAnsi="宋体" w:hint="eastAsia"/>
          <w:color w:val="000000"/>
          <w:sz w:val="24"/>
        </w:rPr>
        <w:t>6、基金托管人业务资格批件、营业执照</w:t>
      </w:r>
    </w:p>
    <w:p w14:paraId="5EB537BD" w14:textId="77777777" w:rsidR="00DD2567" w:rsidRDefault="00680E4C">
      <w:pPr>
        <w:snapToGrid w:val="0"/>
        <w:spacing w:line="360" w:lineRule="auto"/>
        <w:ind w:firstLineChars="177" w:firstLine="425"/>
        <w:rPr>
          <w:rFonts w:ascii="宋体" w:hAnsi="宋体"/>
          <w:color w:val="000000"/>
          <w:sz w:val="24"/>
        </w:rPr>
      </w:pPr>
      <w:r>
        <w:rPr>
          <w:rFonts w:ascii="宋体" w:hAnsi="宋体" w:cs="宋体" w:hint="eastAsia"/>
          <w:color w:val="000000"/>
          <w:sz w:val="24"/>
          <w:szCs w:val="24"/>
        </w:rPr>
        <w:t>7、中国证监会要求的其他文件</w:t>
      </w:r>
    </w:p>
    <w:p w14:paraId="692845FE" w14:textId="77777777" w:rsidR="00DD2567" w:rsidRDefault="00DD2567">
      <w:pPr>
        <w:snapToGrid w:val="0"/>
        <w:spacing w:line="360" w:lineRule="auto"/>
        <w:ind w:firstLineChars="177" w:firstLine="425"/>
        <w:rPr>
          <w:rFonts w:ascii="宋体" w:hAnsi="宋体"/>
          <w:color w:val="000000"/>
          <w:sz w:val="24"/>
        </w:rPr>
      </w:pPr>
    </w:p>
    <w:p w14:paraId="49121689" w14:textId="5734FDAC" w:rsidR="00DD2567" w:rsidRDefault="00680E4C">
      <w:pPr>
        <w:pStyle w:val="1"/>
        <w:spacing w:before="0" w:after="0"/>
        <w:jc w:val="center"/>
        <w:rPr>
          <w:rFonts w:ascii="Times New Roman"/>
          <w:color w:val="auto"/>
          <w:sz w:val="30"/>
        </w:rPr>
      </w:pPr>
      <w:bookmarkStart w:id="406" w:name="_Toc141703905"/>
      <w:bookmarkStart w:id="407" w:name="_Toc9054"/>
      <w:bookmarkStart w:id="408" w:name="_Toc21122"/>
      <w:bookmarkStart w:id="409" w:name="_Toc17263"/>
      <w:bookmarkStart w:id="410" w:name="_Toc5108"/>
      <w:bookmarkStart w:id="411" w:name="_Toc32355"/>
      <w:bookmarkStart w:id="412" w:name="_Toc20098"/>
      <w:bookmarkStart w:id="413" w:name="_Toc1360"/>
      <w:bookmarkStart w:id="414" w:name="_Toc15664"/>
      <w:bookmarkStart w:id="415" w:name="_Toc12499"/>
      <w:bookmarkStart w:id="416" w:name="_Toc7437"/>
      <w:r>
        <w:rPr>
          <w:rFonts w:ascii="Times New Roman"/>
          <w:color w:val="auto"/>
          <w:sz w:val="30"/>
        </w:rPr>
        <w:br w:type="page"/>
      </w:r>
      <w:bookmarkStart w:id="417" w:name="_Toc342469913"/>
      <w:r>
        <w:rPr>
          <w:rFonts w:ascii="Times New Roman" w:hint="eastAsia"/>
          <w:color w:val="auto"/>
          <w:sz w:val="30"/>
        </w:rPr>
        <w:lastRenderedPageBreak/>
        <w:t>附件一</w:t>
      </w:r>
      <w:r w:rsidR="007B4A6C">
        <w:rPr>
          <w:rFonts w:ascii="Times New Roman" w:hint="eastAsia"/>
          <w:color w:val="auto"/>
          <w:sz w:val="30"/>
        </w:rPr>
        <w:t xml:space="preserve"> </w:t>
      </w:r>
      <w:r>
        <w:rPr>
          <w:rFonts w:ascii="Times New Roman"/>
          <w:color w:val="auto"/>
          <w:sz w:val="30"/>
        </w:rPr>
        <w:t>基金合同</w:t>
      </w:r>
      <w:r>
        <w:rPr>
          <w:rFonts w:ascii="Times New Roman" w:hint="eastAsia"/>
          <w:color w:val="auto"/>
          <w:sz w:val="30"/>
        </w:rPr>
        <w:t>的</w:t>
      </w:r>
      <w:r>
        <w:rPr>
          <w:rFonts w:ascii="Times New Roman"/>
          <w:color w:val="auto"/>
          <w:sz w:val="30"/>
        </w:rPr>
        <w:t>内容摘要</w:t>
      </w:r>
      <w:bookmarkEnd w:id="60"/>
      <w:bookmarkEnd w:id="61"/>
      <w:bookmarkEnd w:id="406"/>
      <w:bookmarkEnd w:id="407"/>
      <w:bookmarkEnd w:id="408"/>
      <w:bookmarkEnd w:id="409"/>
      <w:bookmarkEnd w:id="410"/>
      <w:bookmarkEnd w:id="411"/>
      <w:bookmarkEnd w:id="412"/>
      <w:bookmarkEnd w:id="413"/>
      <w:bookmarkEnd w:id="414"/>
      <w:bookmarkEnd w:id="415"/>
      <w:bookmarkEnd w:id="416"/>
      <w:bookmarkEnd w:id="417"/>
    </w:p>
    <w:p w14:paraId="55F769DF"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第一部分基金管理人、基金托管人和基金份额持有人的权利、义务</w:t>
      </w:r>
    </w:p>
    <w:p w14:paraId="0FA583A1" w14:textId="77777777" w:rsidR="00DD2567" w:rsidRDefault="00680E4C">
      <w:pPr>
        <w:spacing w:line="360" w:lineRule="auto"/>
        <w:ind w:firstLineChars="200" w:firstLine="480"/>
        <w:rPr>
          <w:bCs/>
          <w:sz w:val="24"/>
        </w:rPr>
      </w:pPr>
      <w:r>
        <w:rPr>
          <w:rFonts w:hint="eastAsia"/>
          <w:bCs/>
          <w:sz w:val="24"/>
        </w:rPr>
        <w:t>一、</w:t>
      </w:r>
      <w:r>
        <w:rPr>
          <w:bCs/>
          <w:sz w:val="24"/>
        </w:rPr>
        <w:t>基金管理人的权利</w:t>
      </w:r>
      <w:r>
        <w:rPr>
          <w:rFonts w:hint="eastAsia"/>
          <w:bCs/>
          <w:sz w:val="24"/>
        </w:rPr>
        <w:t>、</w:t>
      </w:r>
      <w:r>
        <w:rPr>
          <w:bCs/>
          <w:sz w:val="24"/>
        </w:rPr>
        <w:t>义务</w:t>
      </w:r>
    </w:p>
    <w:p w14:paraId="5BB77561" w14:textId="77777777" w:rsidR="00DD2567" w:rsidRDefault="00680E4C">
      <w:pPr>
        <w:spacing w:line="360" w:lineRule="auto"/>
        <w:ind w:firstLineChars="200" w:firstLine="480"/>
        <w:rPr>
          <w:rFonts w:ascii="宋体" w:hAnsi="宋体"/>
          <w:bCs/>
          <w:sz w:val="24"/>
        </w:rPr>
      </w:pPr>
      <w:r>
        <w:rPr>
          <w:rFonts w:ascii="宋体" w:hAnsi="宋体"/>
          <w:bCs/>
          <w:sz w:val="24"/>
        </w:rPr>
        <w:t>1、根据《基金法》、《运作办法》及其他有关规定，基金管理人的权利包括但不限于：</w:t>
      </w:r>
    </w:p>
    <w:p w14:paraId="281EE56E" w14:textId="77777777" w:rsidR="00DD2567" w:rsidRDefault="00680E4C">
      <w:pPr>
        <w:spacing w:line="360" w:lineRule="auto"/>
        <w:ind w:firstLineChars="200" w:firstLine="480"/>
        <w:rPr>
          <w:rFonts w:ascii="宋体" w:hAnsi="宋体"/>
          <w:bCs/>
          <w:sz w:val="24"/>
        </w:rPr>
      </w:pPr>
      <w:r>
        <w:rPr>
          <w:rFonts w:ascii="宋体" w:hAnsi="宋体"/>
          <w:bCs/>
          <w:sz w:val="24"/>
        </w:rPr>
        <w:t>（1）依法募集</w:t>
      </w:r>
      <w:r>
        <w:rPr>
          <w:rFonts w:ascii="宋体" w:hAnsi="宋体" w:hint="eastAsia"/>
          <w:bCs/>
          <w:sz w:val="24"/>
        </w:rPr>
        <w:t>资</w:t>
      </w:r>
      <w:r>
        <w:rPr>
          <w:rFonts w:ascii="宋体" w:hAnsi="宋体"/>
          <w:bCs/>
          <w:sz w:val="24"/>
        </w:rPr>
        <w:t>金；</w:t>
      </w:r>
    </w:p>
    <w:p w14:paraId="4454629C" w14:textId="77777777" w:rsidR="00DD2567" w:rsidRDefault="00680E4C">
      <w:pPr>
        <w:spacing w:line="360" w:lineRule="auto"/>
        <w:ind w:firstLineChars="200" w:firstLine="480"/>
        <w:rPr>
          <w:rFonts w:ascii="宋体" w:hAnsi="宋体"/>
          <w:bCs/>
          <w:sz w:val="24"/>
        </w:rPr>
      </w:pPr>
      <w:r>
        <w:rPr>
          <w:rFonts w:ascii="宋体" w:hAnsi="宋体"/>
          <w:bCs/>
          <w:sz w:val="24"/>
        </w:rPr>
        <w:t>（2）自《基金合同》生效之日起，根据法律法规和《基金合同》独立运用并管理基金财产；</w:t>
      </w:r>
    </w:p>
    <w:p w14:paraId="7457D69B" w14:textId="77777777" w:rsidR="00DD2567" w:rsidRDefault="00680E4C">
      <w:pPr>
        <w:spacing w:line="360" w:lineRule="auto"/>
        <w:ind w:firstLineChars="200" w:firstLine="480"/>
        <w:rPr>
          <w:rFonts w:ascii="宋体" w:hAnsi="宋体"/>
          <w:bCs/>
          <w:sz w:val="24"/>
        </w:rPr>
      </w:pPr>
      <w:r>
        <w:rPr>
          <w:rFonts w:ascii="宋体" w:hAnsi="宋体"/>
          <w:bCs/>
          <w:sz w:val="24"/>
        </w:rPr>
        <w:t>（3）依照《基金合同》收取基金管理费以及法律法规规定或中国证监会批准的其他费用；</w:t>
      </w:r>
    </w:p>
    <w:p w14:paraId="68D0F3A3" w14:textId="77777777" w:rsidR="00DD2567" w:rsidRDefault="00680E4C">
      <w:pPr>
        <w:spacing w:line="360" w:lineRule="auto"/>
        <w:ind w:firstLineChars="200" w:firstLine="480"/>
        <w:rPr>
          <w:rFonts w:ascii="宋体" w:hAnsi="宋体"/>
          <w:bCs/>
          <w:sz w:val="24"/>
        </w:rPr>
      </w:pPr>
      <w:r>
        <w:rPr>
          <w:rFonts w:ascii="宋体" w:hAnsi="宋体"/>
          <w:bCs/>
          <w:sz w:val="24"/>
        </w:rPr>
        <w:t>（4）销售基金份额；</w:t>
      </w:r>
    </w:p>
    <w:p w14:paraId="331FB3D2" w14:textId="77777777" w:rsidR="00DD2567" w:rsidRDefault="00680E4C">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按照规定</w:t>
      </w:r>
      <w:r>
        <w:rPr>
          <w:rFonts w:ascii="宋体" w:hAnsi="宋体"/>
          <w:bCs/>
          <w:sz w:val="24"/>
        </w:rPr>
        <w:t>召集基金份额持有人大会；</w:t>
      </w:r>
    </w:p>
    <w:p w14:paraId="62423F93" w14:textId="77777777" w:rsidR="00DD2567" w:rsidRDefault="00680E4C">
      <w:pPr>
        <w:spacing w:line="360" w:lineRule="auto"/>
        <w:ind w:firstLineChars="200" w:firstLine="480"/>
        <w:rPr>
          <w:rFonts w:ascii="宋体" w:hAnsi="宋体"/>
          <w:bCs/>
          <w:sz w:val="24"/>
        </w:rPr>
      </w:pPr>
      <w:r>
        <w:rPr>
          <w:rFonts w:ascii="宋体" w:hAnsi="宋体"/>
          <w:bCs/>
          <w:sz w:val="24"/>
        </w:rPr>
        <w:t>（6）依据《基金合同》及有关法律规定监督基金托管人，如认为基金托管人违反了《基金合同》及国家有关法律规定，应呈报中国证监会和其他监管部门，并采取必要措施保护基金投资者的利益；</w:t>
      </w:r>
    </w:p>
    <w:p w14:paraId="228DE4C3" w14:textId="77777777" w:rsidR="00DD2567" w:rsidRDefault="00680E4C">
      <w:pPr>
        <w:spacing w:line="360" w:lineRule="auto"/>
        <w:ind w:firstLineChars="200" w:firstLine="480"/>
        <w:rPr>
          <w:rFonts w:ascii="宋体" w:hAnsi="宋体"/>
          <w:bCs/>
          <w:sz w:val="24"/>
        </w:rPr>
      </w:pPr>
      <w:r>
        <w:rPr>
          <w:rFonts w:ascii="宋体" w:hAnsi="宋体"/>
          <w:bCs/>
          <w:sz w:val="24"/>
        </w:rPr>
        <w:t>（7）在基金托管人更换时，提名新的基金托管人；</w:t>
      </w:r>
    </w:p>
    <w:p w14:paraId="388DD812" w14:textId="77777777" w:rsidR="00DD2567" w:rsidRDefault="00680E4C">
      <w:pPr>
        <w:spacing w:line="440" w:lineRule="atLeast"/>
        <w:ind w:firstLineChars="200" w:firstLine="480"/>
        <w:rPr>
          <w:rFonts w:ascii="宋体" w:hAnsi="宋体"/>
          <w:bCs/>
          <w:sz w:val="24"/>
        </w:rPr>
      </w:pPr>
      <w:r>
        <w:rPr>
          <w:rFonts w:ascii="宋体" w:hAnsi="宋体"/>
          <w:bCs/>
          <w:sz w:val="24"/>
        </w:rPr>
        <w:t>（8）选择、更换基金销售机构，对基金销售机构的相关行为进行监督和处理；</w:t>
      </w:r>
    </w:p>
    <w:p w14:paraId="34A6EC1A" w14:textId="77777777" w:rsidR="00DD2567" w:rsidRDefault="00680E4C">
      <w:pPr>
        <w:spacing w:line="440" w:lineRule="atLeast"/>
        <w:ind w:firstLineChars="200" w:firstLine="480"/>
        <w:rPr>
          <w:rFonts w:ascii="宋体" w:hAnsi="宋体"/>
          <w:bCs/>
          <w:sz w:val="24"/>
        </w:rPr>
      </w:pPr>
      <w:r>
        <w:rPr>
          <w:rFonts w:ascii="宋体" w:hAnsi="宋体"/>
          <w:bCs/>
          <w:sz w:val="24"/>
        </w:rPr>
        <w:t>（9）担任或委托其他符合条件的机构担任基金登记机构办理基金登记业务并获得《基金合同》规定的费用；</w:t>
      </w:r>
    </w:p>
    <w:p w14:paraId="02BC78D1" w14:textId="77777777" w:rsidR="00DD2567" w:rsidRDefault="00680E4C">
      <w:pPr>
        <w:spacing w:line="440" w:lineRule="atLeast"/>
        <w:ind w:firstLineChars="200" w:firstLine="480"/>
        <w:rPr>
          <w:rFonts w:ascii="宋体" w:hAnsi="宋体"/>
          <w:bCs/>
          <w:sz w:val="24"/>
        </w:rPr>
      </w:pPr>
      <w:r>
        <w:rPr>
          <w:rFonts w:ascii="宋体" w:hAnsi="宋体"/>
          <w:bCs/>
          <w:sz w:val="24"/>
        </w:rPr>
        <w:t>（10）依据《基金合同》及有关法律规定决定基金收益的分配方案；</w:t>
      </w:r>
    </w:p>
    <w:p w14:paraId="13739576" w14:textId="77777777" w:rsidR="00DD2567" w:rsidRDefault="00680E4C">
      <w:pPr>
        <w:spacing w:line="440" w:lineRule="atLeast"/>
        <w:ind w:firstLineChars="200" w:firstLine="480"/>
        <w:rPr>
          <w:rFonts w:ascii="宋体" w:hAnsi="宋体"/>
          <w:bCs/>
          <w:sz w:val="24"/>
        </w:rPr>
      </w:pPr>
      <w:r>
        <w:rPr>
          <w:rFonts w:ascii="宋体" w:hAnsi="宋体"/>
          <w:bCs/>
          <w:sz w:val="24"/>
        </w:rPr>
        <w:t>（11）在《基金合同》约定的范围内，拒绝或暂停受理申购与赎回申请；</w:t>
      </w:r>
    </w:p>
    <w:p w14:paraId="543997CD" w14:textId="77777777" w:rsidR="00DD2567" w:rsidRDefault="00680E4C">
      <w:pPr>
        <w:spacing w:line="440" w:lineRule="atLeast"/>
        <w:ind w:firstLineChars="200" w:firstLine="480"/>
        <w:rPr>
          <w:rFonts w:ascii="宋体" w:hAnsi="宋体"/>
          <w:bCs/>
          <w:sz w:val="24"/>
        </w:rPr>
      </w:pPr>
      <w:r>
        <w:rPr>
          <w:rFonts w:ascii="宋体" w:hAnsi="宋体"/>
          <w:bCs/>
          <w:sz w:val="24"/>
        </w:rPr>
        <w:t>（12）依照法律法规为基金的利益对被投资公司行使股东权利，为基金的利益行使因基金财产投资于证券所产生的权利；</w:t>
      </w:r>
    </w:p>
    <w:p w14:paraId="4026096A" w14:textId="4A5A86B4" w:rsidR="00DD2567" w:rsidRDefault="00680E4C">
      <w:pPr>
        <w:spacing w:line="440" w:lineRule="atLeast"/>
        <w:ind w:firstLineChars="200" w:firstLine="480"/>
        <w:rPr>
          <w:rFonts w:ascii="宋体" w:hAnsi="宋体"/>
          <w:bCs/>
          <w:sz w:val="24"/>
        </w:rPr>
      </w:pPr>
      <w:r>
        <w:rPr>
          <w:rFonts w:ascii="宋体" w:hAnsi="宋体"/>
          <w:bCs/>
          <w:sz w:val="24"/>
        </w:rPr>
        <w:t>（1</w:t>
      </w:r>
      <w:r w:rsidR="00420E08">
        <w:rPr>
          <w:rFonts w:ascii="宋体" w:hAnsi="宋体"/>
          <w:bCs/>
          <w:sz w:val="24"/>
        </w:rPr>
        <w:t>3</w:t>
      </w:r>
      <w:r>
        <w:rPr>
          <w:rFonts w:ascii="宋体" w:hAnsi="宋体"/>
          <w:bCs/>
          <w:sz w:val="24"/>
        </w:rPr>
        <w:t>）以基金管理人的名义，代表基金份额持有人的利益行使诉讼权利或者实施其他法律行为；</w:t>
      </w:r>
    </w:p>
    <w:p w14:paraId="0E44101C" w14:textId="0DEE93E4" w:rsidR="00DD2567" w:rsidRDefault="00680E4C">
      <w:pPr>
        <w:spacing w:line="440" w:lineRule="atLeast"/>
        <w:ind w:firstLineChars="200" w:firstLine="480"/>
        <w:rPr>
          <w:rFonts w:ascii="宋体" w:hAnsi="宋体"/>
          <w:bCs/>
          <w:sz w:val="24"/>
        </w:rPr>
      </w:pPr>
      <w:r>
        <w:rPr>
          <w:rFonts w:ascii="宋体" w:hAnsi="宋体"/>
          <w:bCs/>
          <w:sz w:val="24"/>
        </w:rPr>
        <w:t>（1</w:t>
      </w:r>
      <w:r w:rsidR="00420E08">
        <w:rPr>
          <w:rFonts w:ascii="宋体" w:hAnsi="宋体"/>
          <w:bCs/>
          <w:sz w:val="24"/>
        </w:rPr>
        <w:t>4</w:t>
      </w:r>
      <w:r>
        <w:rPr>
          <w:rFonts w:ascii="宋体" w:hAnsi="宋体"/>
          <w:bCs/>
          <w:sz w:val="24"/>
        </w:rPr>
        <w:t>）选择、更换律师事务所、会计师事务所、证券经纪商或其他为基金提供服务的外部机构；</w:t>
      </w:r>
    </w:p>
    <w:p w14:paraId="642ACB86" w14:textId="14AC45E8" w:rsidR="00DD2567" w:rsidRDefault="00680E4C">
      <w:pPr>
        <w:spacing w:line="440" w:lineRule="atLeast"/>
        <w:ind w:firstLineChars="200" w:firstLine="480"/>
        <w:rPr>
          <w:rFonts w:ascii="宋体" w:hAnsi="宋体"/>
          <w:bCs/>
          <w:sz w:val="24"/>
        </w:rPr>
      </w:pPr>
      <w:r>
        <w:rPr>
          <w:rFonts w:ascii="宋体" w:hAnsi="宋体"/>
          <w:bCs/>
          <w:sz w:val="24"/>
        </w:rPr>
        <w:t>（1</w:t>
      </w:r>
      <w:r w:rsidR="00420E08">
        <w:rPr>
          <w:rFonts w:ascii="宋体" w:hAnsi="宋体"/>
          <w:bCs/>
          <w:sz w:val="24"/>
        </w:rPr>
        <w:t>5</w:t>
      </w:r>
      <w:r>
        <w:rPr>
          <w:rFonts w:ascii="宋体" w:hAnsi="宋体"/>
          <w:bCs/>
          <w:sz w:val="24"/>
        </w:rPr>
        <w:t>）在符合有关法律、法规的前提下，制订和调整有关基金认购、申购、</w:t>
      </w:r>
      <w:r>
        <w:rPr>
          <w:rFonts w:ascii="宋体" w:hAnsi="宋体"/>
          <w:bCs/>
          <w:sz w:val="24"/>
        </w:rPr>
        <w:lastRenderedPageBreak/>
        <w:t>赎回、转换和非交易过户的业务规则；</w:t>
      </w:r>
    </w:p>
    <w:p w14:paraId="58CECD36" w14:textId="300291F9" w:rsidR="00DD2567" w:rsidRDefault="00680E4C">
      <w:pPr>
        <w:spacing w:line="440" w:lineRule="atLeast"/>
        <w:ind w:firstLineChars="200" w:firstLine="480"/>
        <w:rPr>
          <w:rFonts w:ascii="宋体" w:hAnsi="宋体"/>
          <w:bCs/>
          <w:sz w:val="24"/>
        </w:rPr>
      </w:pPr>
      <w:r>
        <w:rPr>
          <w:rFonts w:ascii="宋体" w:hAnsi="宋体"/>
          <w:bCs/>
          <w:sz w:val="24"/>
        </w:rPr>
        <w:t>（1</w:t>
      </w:r>
      <w:r w:rsidR="00420E08">
        <w:rPr>
          <w:rFonts w:ascii="宋体" w:hAnsi="宋体"/>
          <w:bCs/>
          <w:sz w:val="24"/>
        </w:rPr>
        <w:t>6</w:t>
      </w:r>
      <w:r>
        <w:rPr>
          <w:rFonts w:ascii="宋体" w:hAnsi="宋体"/>
          <w:bCs/>
          <w:sz w:val="24"/>
        </w:rPr>
        <w:t>）法律法规和《基金合同》规定的其他权利。</w:t>
      </w:r>
    </w:p>
    <w:p w14:paraId="10A38249" w14:textId="77777777" w:rsidR="00DD2567" w:rsidRDefault="00680E4C">
      <w:pPr>
        <w:spacing w:line="440" w:lineRule="atLeast"/>
        <w:ind w:firstLineChars="200" w:firstLine="480"/>
        <w:rPr>
          <w:rFonts w:ascii="宋体" w:hAnsi="宋体"/>
          <w:bCs/>
          <w:sz w:val="24"/>
        </w:rPr>
      </w:pPr>
      <w:r>
        <w:rPr>
          <w:rFonts w:ascii="宋体" w:hAnsi="宋体"/>
          <w:bCs/>
          <w:sz w:val="24"/>
        </w:rPr>
        <w:t>2、根据《基金法》、《运作办法》及其他有关规定，基金管理人的义务包括但不限于：</w:t>
      </w:r>
    </w:p>
    <w:p w14:paraId="6BC9F30C" w14:textId="77777777" w:rsidR="00DD2567" w:rsidRDefault="00680E4C">
      <w:pPr>
        <w:spacing w:line="440" w:lineRule="atLeast"/>
        <w:ind w:firstLineChars="200" w:firstLine="480"/>
        <w:rPr>
          <w:rFonts w:ascii="宋体" w:hAnsi="宋体"/>
          <w:bCs/>
          <w:sz w:val="24"/>
        </w:rPr>
      </w:pPr>
      <w:r>
        <w:rPr>
          <w:rFonts w:ascii="宋体" w:hAnsi="宋体"/>
          <w:bCs/>
          <w:sz w:val="24"/>
        </w:rPr>
        <w:t>（1）依法募集</w:t>
      </w:r>
      <w:r>
        <w:rPr>
          <w:rFonts w:ascii="宋体" w:hAnsi="宋体" w:hint="eastAsia"/>
          <w:bCs/>
          <w:sz w:val="24"/>
        </w:rPr>
        <w:t>资</w:t>
      </w:r>
      <w:r>
        <w:rPr>
          <w:rFonts w:ascii="宋体" w:hAnsi="宋体"/>
          <w:bCs/>
          <w:sz w:val="24"/>
        </w:rPr>
        <w:t>金，办理或者委托经中国证监会认定的其他机构代为办理基金份额的发售、申购、赎回和登记事宜；</w:t>
      </w:r>
    </w:p>
    <w:p w14:paraId="3D7E0CF8" w14:textId="77777777" w:rsidR="00DD2567" w:rsidRDefault="00680E4C">
      <w:pPr>
        <w:spacing w:line="440" w:lineRule="atLeast"/>
        <w:ind w:firstLineChars="200" w:firstLine="480"/>
        <w:rPr>
          <w:rFonts w:ascii="宋体" w:hAnsi="宋体"/>
          <w:bCs/>
          <w:sz w:val="24"/>
        </w:rPr>
      </w:pPr>
      <w:r>
        <w:rPr>
          <w:rFonts w:ascii="宋体" w:hAnsi="宋体"/>
          <w:bCs/>
          <w:sz w:val="24"/>
        </w:rPr>
        <w:t>（2）办理基金备案手续；</w:t>
      </w:r>
    </w:p>
    <w:p w14:paraId="27C45871" w14:textId="77777777" w:rsidR="00DD2567" w:rsidRDefault="00680E4C">
      <w:pPr>
        <w:spacing w:line="440" w:lineRule="atLeast"/>
        <w:ind w:firstLineChars="200" w:firstLine="480"/>
        <w:rPr>
          <w:rFonts w:ascii="宋体" w:hAnsi="宋体"/>
          <w:bCs/>
          <w:sz w:val="24"/>
        </w:rPr>
      </w:pPr>
      <w:r>
        <w:rPr>
          <w:rFonts w:ascii="宋体" w:hAnsi="宋体"/>
          <w:bCs/>
          <w:sz w:val="24"/>
        </w:rPr>
        <w:t>（3）自《基金合同》生效之日起</w:t>
      </w:r>
      <w:r>
        <w:rPr>
          <w:rFonts w:ascii="宋体" w:hAnsi="宋体" w:hint="eastAsia"/>
          <w:bCs/>
          <w:sz w:val="24"/>
        </w:rPr>
        <w:t>，</w:t>
      </w:r>
      <w:r>
        <w:rPr>
          <w:rFonts w:ascii="宋体" w:hAnsi="宋体"/>
          <w:bCs/>
          <w:sz w:val="24"/>
        </w:rPr>
        <w:t>以诚实信用、谨慎勤勉的原则管理和运用基金财产；</w:t>
      </w:r>
    </w:p>
    <w:p w14:paraId="3281B26E" w14:textId="77777777" w:rsidR="00DD2567" w:rsidRDefault="00680E4C">
      <w:pPr>
        <w:spacing w:line="440" w:lineRule="atLeast"/>
        <w:ind w:firstLineChars="200" w:firstLine="480"/>
        <w:rPr>
          <w:rFonts w:ascii="宋体" w:hAnsi="宋体"/>
          <w:bCs/>
          <w:sz w:val="24"/>
        </w:rPr>
      </w:pPr>
      <w:r>
        <w:rPr>
          <w:rFonts w:ascii="宋体" w:hAnsi="宋体"/>
          <w:bCs/>
          <w:sz w:val="24"/>
        </w:rPr>
        <w:t>（4）配备足够的具有专业资格的人员进行基金投资分析、决策，以专业化的经营方式管理和运作基金财产；</w:t>
      </w:r>
    </w:p>
    <w:p w14:paraId="34A6F576" w14:textId="77777777" w:rsidR="00DD2567" w:rsidRDefault="00680E4C">
      <w:pPr>
        <w:spacing w:line="440" w:lineRule="atLeast"/>
        <w:ind w:firstLineChars="200" w:firstLine="480"/>
        <w:rPr>
          <w:rFonts w:ascii="宋体" w:hAnsi="宋体"/>
          <w:bCs/>
          <w:sz w:val="24"/>
        </w:rPr>
      </w:pPr>
      <w:r>
        <w:rPr>
          <w:rFonts w:ascii="宋体" w:hAnsi="宋体"/>
          <w:bCs/>
          <w:sz w:val="24"/>
        </w:rPr>
        <w:t>（5）建立健全内部风险控制、监察与稽核、财务管理及人事管理等制度，保证所管理的基金财产和基金管理人的财产相互独立</w:t>
      </w:r>
      <w:r>
        <w:rPr>
          <w:rFonts w:ascii="宋体" w:hAnsi="宋体" w:hint="eastAsia"/>
          <w:bCs/>
          <w:sz w:val="24"/>
        </w:rPr>
        <w:t>，</w:t>
      </w:r>
      <w:r>
        <w:rPr>
          <w:rFonts w:ascii="宋体" w:hAnsi="宋体"/>
          <w:bCs/>
          <w:sz w:val="24"/>
        </w:rPr>
        <w:t>对所管理的不同基金分别管理，分别记账，进行证券投资；</w:t>
      </w:r>
    </w:p>
    <w:p w14:paraId="04237EFF" w14:textId="77777777" w:rsidR="00DD2567" w:rsidRDefault="00680E4C">
      <w:pPr>
        <w:spacing w:line="360" w:lineRule="auto"/>
        <w:ind w:firstLineChars="200" w:firstLine="480"/>
        <w:rPr>
          <w:rFonts w:ascii="宋体" w:hAnsi="宋体"/>
          <w:bCs/>
          <w:sz w:val="24"/>
        </w:rPr>
      </w:pPr>
      <w:r>
        <w:rPr>
          <w:rFonts w:ascii="宋体" w:hAnsi="宋体"/>
          <w:bCs/>
          <w:sz w:val="24"/>
        </w:rPr>
        <w:t>（6）除依据《基金法》、《基金合同》及其他有关规定外</w:t>
      </w:r>
      <w:r>
        <w:rPr>
          <w:rFonts w:ascii="宋体" w:hAnsi="宋体" w:hint="eastAsia"/>
          <w:bCs/>
          <w:sz w:val="24"/>
        </w:rPr>
        <w:t>，</w:t>
      </w:r>
      <w:r>
        <w:rPr>
          <w:rFonts w:ascii="宋体" w:hAnsi="宋体"/>
          <w:bCs/>
          <w:sz w:val="24"/>
        </w:rPr>
        <w:t>不得利用基金财产为自己及任何第三人谋取利益，不得委托第三人运作基金财产；</w:t>
      </w:r>
    </w:p>
    <w:p w14:paraId="60CBA8EB" w14:textId="77777777" w:rsidR="00DD2567" w:rsidRDefault="00680E4C">
      <w:pPr>
        <w:spacing w:line="360" w:lineRule="auto"/>
        <w:ind w:firstLineChars="200" w:firstLine="480"/>
        <w:rPr>
          <w:rFonts w:ascii="宋体" w:hAnsi="宋体"/>
          <w:bCs/>
          <w:sz w:val="24"/>
        </w:rPr>
      </w:pPr>
      <w:r>
        <w:rPr>
          <w:rFonts w:ascii="宋体" w:hAnsi="宋体"/>
          <w:bCs/>
          <w:sz w:val="24"/>
        </w:rPr>
        <w:t>（7）依法接受基金托管人的监督；</w:t>
      </w:r>
    </w:p>
    <w:p w14:paraId="001C26A0" w14:textId="77777777" w:rsidR="00DD2567" w:rsidRDefault="00680E4C">
      <w:pPr>
        <w:spacing w:line="360" w:lineRule="auto"/>
        <w:ind w:firstLineChars="200" w:firstLine="480"/>
        <w:rPr>
          <w:bCs/>
          <w:sz w:val="24"/>
        </w:rPr>
      </w:pPr>
      <w:r>
        <w:rPr>
          <w:rFonts w:ascii="宋体" w:hAnsi="宋体"/>
          <w:bCs/>
          <w:sz w:val="24"/>
        </w:rPr>
        <w:t>（8）采取适当合理的措施使计算基金份额认购、申购、赎回和注销价格的方法符合《基金合同》等法律文件的规定，按有关规定计算并公告基金资产净值，</w:t>
      </w:r>
      <w:r>
        <w:rPr>
          <w:bCs/>
          <w:sz w:val="24"/>
        </w:rPr>
        <w:t>确定基金份额申购、赎回的价格；</w:t>
      </w:r>
    </w:p>
    <w:p w14:paraId="53028724" w14:textId="77777777" w:rsidR="00DD2567" w:rsidRDefault="00680E4C">
      <w:pPr>
        <w:spacing w:line="360" w:lineRule="auto"/>
        <w:ind w:firstLineChars="200" w:firstLine="480"/>
        <w:rPr>
          <w:rFonts w:ascii="宋体" w:hAnsi="宋体"/>
          <w:bCs/>
          <w:sz w:val="24"/>
        </w:rPr>
      </w:pPr>
      <w:r>
        <w:rPr>
          <w:rFonts w:ascii="宋体" w:hAnsi="宋体"/>
          <w:bCs/>
          <w:sz w:val="24"/>
        </w:rPr>
        <w:t>（9）进行基金会计核算并编制基金财务会计报告；</w:t>
      </w:r>
    </w:p>
    <w:p w14:paraId="230740B4" w14:textId="77777777" w:rsidR="00DD2567" w:rsidRDefault="00680E4C">
      <w:pPr>
        <w:spacing w:line="360" w:lineRule="auto"/>
        <w:ind w:firstLineChars="200" w:firstLine="480"/>
        <w:rPr>
          <w:rFonts w:ascii="宋体" w:hAnsi="宋体"/>
          <w:bCs/>
          <w:sz w:val="24"/>
        </w:rPr>
      </w:pPr>
      <w:r>
        <w:rPr>
          <w:rFonts w:ascii="宋体" w:hAnsi="宋体"/>
          <w:bCs/>
          <w:sz w:val="24"/>
        </w:rPr>
        <w:t>（10）编制季度、半年度和年度基金报告；</w:t>
      </w:r>
    </w:p>
    <w:p w14:paraId="684A0C56" w14:textId="77777777" w:rsidR="00DD2567" w:rsidRDefault="00680E4C">
      <w:pPr>
        <w:spacing w:line="360" w:lineRule="auto"/>
        <w:ind w:firstLineChars="200" w:firstLine="480"/>
        <w:rPr>
          <w:rFonts w:ascii="宋体" w:hAnsi="宋体"/>
          <w:bCs/>
          <w:sz w:val="24"/>
        </w:rPr>
      </w:pPr>
      <w:r>
        <w:rPr>
          <w:rFonts w:ascii="宋体" w:hAnsi="宋体"/>
          <w:bCs/>
          <w:sz w:val="24"/>
        </w:rPr>
        <w:t>（11）</w:t>
      </w:r>
      <w:r>
        <w:rPr>
          <w:rFonts w:ascii="宋体" w:hAnsi="宋体"/>
          <w:bCs/>
          <w:sz w:val="24"/>
        </w:rPr>
        <w:tab/>
        <w:t>严格按照《基金法》、《基金合同》及其他有关规定，履行信息披露及报告义务；</w:t>
      </w:r>
    </w:p>
    <w:p w14:paraId="7BC81C00" w14:textId="77777777" w:rsidR="00DD2567" w:rsidRDefault="00680E4C">
      <w:pPr>
        <w:spacing w:line="360" w:lineRule="auto"/>
        <w:ind w:firstLineChars="200" w:firstLine="480"/>
        <w:rPr>
          <w:rFonts w:ascii="宋体" w:hAnsi="宋体"/>
          <w:bCs/>
          <w:sz w:val="24"/>
        </w:rPr>
      </w:pPr>
      <w:r>
        <w:rPr>
          <w:rFonts w:ascii="宋体" w:hAnsi="宋体"/>
          <w:bCs/>
          <w:sz w:val="24"/>
        </w:rPr>
        <w:t>（12）保守基金商业秘密，不泄露基金投资计划、投资意向等。除《基金法》、《基金合同》及其他有关规定另有规定外，在基金信息公开披露前应予保密，不向他人泄露；</w:t>
      </w:r>
    </w:p>
    <w:p w14:paraId="46E72742" w14:textId="77777777" w:rsidR="00DD2567" w:rsidRDefault="00680E4C">
      <w:pPr>
        <w:spacing w:line="360" w:lineRule="auto"/>
        <w:ind w:firstLineChars="200" w:firstLine="480"/>
        <w:rPr>
          <w:rFonts w:ascii="宋体" w:hAnsi="宋体"/>
          <w:bCs/>
          <w:sz w:val="24"/>
        </w:rPr>
      </w:pPr>
      <w:r>
        <w:rPr>
          <w:rFonts w:ascii="宋体" w:hAnsi="宋体"/>
          <w:bCs/>
          <w:sz w:val="24"/>
        </w:rPr>
        <w:t>（13）按《基金合同》的约定确定基金收益分配方案，及时向基金份额持有人分配基金收益；</w:t>
      </w:r>
    </w:p>
    <w:p w14:paraId="2CD9E12D" w14:textId="77777777" w:rsidR="00DD2567" w:rsidRDefault="00680E4C">
      <w:pPr>
        <w:spacing w:line="360" w:lineRule="auto"/>
        <w:ind w:firstLineChars="200" w:firstLine="480"/>
        <w:rPr>
          <w:rFonts w:ascii="宋体" w:hAnsi="宋体"/>
          <w:bCs/>
          <w:sz w:val="24"/>
        </w:rPr>
      </w:pPr>
      <w:r>
        <w:rPr>
          <w:rFonts w:ascii="宋体" w:hAnsi="宋体"/>
          <w:bCs/>
          <w:sz w:val="24"/>
        </w:rPr>
        <w:t>（14）按规定受理申购与赎回申请，及时、足额支付赎回款项；</w:t>
      </w:r>
    </w:p>
    <w:p w14:paraId="3DA038CA"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（15）依据《基金法》、《基金合同》及其他有关规定召集基金份额持有人大会或配合基金托管人、基金份额持有人依法召集基金份额持有人大会；</w:t>
      </w:r>
    </w:p>
    <w:p w14:paraId="46AF7520" w14:textId="77777777" w:rsidR="00DD2567" w:rsidRDefault="00680E4C">
      <w:pPr>
        <w:spacing w:line="360" w:lineRule="auto"/>
        <w:ind w:firstLineChars="200" w:firstLine="480"/>
        <w:rPr>
          <w:rFonts w:ascii="宋体" w:hAnsi="宋体"/>
          <w:bCs/>
          <w:sz w:val="24"/>
        </w:rPr>
      </w:pPr>
      <w:r>
        <w:rPr>
          <w:rFonts w:ascii="宋体" w:hAnsi="宋体"/>
          <w:bCs/>
          <w:sz w:val="24"/>
        </w:rPr>
        <w:t>（16）按规定保存基金财产管理业务活动的会计账册、报表、记录和其他相关资料</w:t>
      </w:r>
      <w:r>
        <w:rPr>
          <w:rFonts w:ascii="宋体" w:hAnsi="宋体" w:hint="eastAsia"/>
          <w:bCs/>
          <w:sz w:val="24"/>
        </w:rPr>
        <w:t>15</w:t>
      </w:r>
      <w:r>
        <w:rPr>
          <w:rFonts w:ascii="宋体" w:hAnsi="宋体"/>
          <w:bCs/>
          <w:sz w:val="24"/>
        </w:rPr>
        <w:t>年以上；</w:t>
      </w:r>
    </w:p>
    <w:p w14:paraId="542D1B00" w14:textId="77777777" w:rsidR="00DD2567" w:rsidRDefault="00680E4C">
      <w:pPr>
        <w:spacing w:line="360" w:lineRule="auto"/>
        <w:ind w:firstLineChars="200" w:firstLine="480"/>
        <w:rPr>
          <w:rFonts w:ascii="宋体" w:hAnsi="宋体"/>
          <w:bCs/>
          <w:sz w:val="24"/>
        </w:rPr>
      </w:pPr>
      <w:r>
        <w:rPr>
          <w:rFonts w:ascii="宋体" w:hAnsi="宋体"/>
          <w:bCs/>
          <w:sz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171A8B0" w14:textId="77777777" w:rsidR="00DD2567" w:rsidRDefault="00680E4C">
      <w:pPr>
        <w:spacing w:line="360" w:lineRule="auto"/>
        <w:ind w:firstLineChars="200" w:firstLine="480"/>
        <w:rPr>
          <w:rFonts w:ascii="宋体" w:hAnsi="宋体"/>
          <w:bCs/>
          <w:sz w:val="24"/>
        </w:rPr>
      </w:pPr>
      <w:r>
        <w:rPr>
          <w:rFonts w:ascii="宋体" w:hAnsi="宋体"/>
          <w:bCs/>
          <w:sz w:val="24"/>
        </w:rPr>
        <w:t>（18）组织并参加基金财产清算小组</w:t>
      </w:r>
      <w:r>
        <w:rPr>
          <w:rFonts w:ascii="宋体" w:hAnsi="宋体" w:hint="eastAsia"/>
          <w:bCs/>
          <w:sz w:val="24"/>
        </w:rPr>
        <w:t>，</w:t>
      </w:r>
      <w:r>
        <w:rPr>
          <w:rFonts w:ascii="宋体" w:hAnsi="宋体"/>
          <w:bCs/>
          <w:sz w:val="24"/>
        </w:rPr>
        <w:t>参与基金财产的保管、清理、估价、变现和分配；</w:t>
      </w:r>
    </w:p>
    <w:p w14:paraId="60615209" w14:textId="77777777" w:rsidR="00DD2567" w:rsidRDefault="00680E4C">
      <w:pPr>
        <w:spacing w:line="360" w:lineRule="auto"/>
        <w:ind w:firstLineChars="200" w:firstLine="480"/>
        <w:rPr>
          <w:rFonts w:ascii="宋体" w:hAnsi="宋体"/>
          <w:bCs/>
          <w:sz w:val="24"/>
        </w:rPr>
      </w:pPr>
      <w:r>
        <w:rPr>
          <w:rFonts w:ascii="宋体" w:hAnsi="宋体"/>
          <w:bCs/>
          <w:sz w:val="24"/>
        </w:rPr>
        <w:t>（19）面临解散、依法被撤销或者被依法宣告破产时，及时报告中国证监会并通知基金托管人；</w:t>
      </w:r>
    </w:p>
    <w:p w14:paraId="109504E8" w14:textId="77777777" w:rsidR="00DD2567" w:rsidRDefault="00680E4C">
      <w:pPr>
        <w:spacing w:line="360" w:lineRule="auto"/>
        <w:ind w:firstLineChars="200" w:firstLine="480"/>
        <w:rPr>
          <w:rFonts w:ascii="宋体" w:hAnsi="宋体"/>
          <w:bCs/>
          <w:sz w:val="24"/>
        </w:rPr>
      </w:pPr>
      <w:r>
        <w:rPr>
          <w:rFonts w:ascii="宋体" w:hAnsi="宋体"/>
          <w:bCs/>
          <w:sz w:val="24"/>
        </w:rPr>
        <w:t>（20）因违反《基金合同》导致基金财产的损失或损害基金份额持有人合法权益时，应当承担赔偿责任，其赔偿责任不因其退任而免除；</w:t>
      </w:r>
    </w:p>
    <w:p w14:paraId="3FE9DF65" w14:textId="77777777" w:rsidR="00DD2567" w:rsidRDefault="00680E4C">
      <w:pPr>
        <w:spacing w:line="360" w:lineRule="auto"/>
        <w:ind w:firstLineChars="200" w:firstLine="480"/>
        <w:rPr>
          <w:rFonts w:ascii="宋体" w:hAnsi="宋体"/>
          <w:bCs/>
          <w:sz w:val="24"/>
        </w:rPr>
      </w:pPr>
      <w:r>
        <w:rPr>
          <w:rFonts w:ascii="宋体" w:hAnsi="宋体"/>
          <w:bCs/>
          <w:sz w:val="24"/>
        </w:rPr>
        <w:t>（21）监督基金托管人按法律法规和《基金合同》规定履行自己的义务，基金托管人违反《基金合同》造成基金财产损失时，基金管理人应为基金份额持有人利益向基金托管人追偿；</w:t>
      </w:r>
    </w:p>
    <w:p w14:paraId="0A2BF87E" w14:textId="77777777" w:rsidR="00DD2567" w:rsidRDefault="00680E4C">
      <w:pPr>
        <w:spacing w:line="360" w:lineRule="auto"/>
        <w:ind w:firstLineChars="200" w:firstLine="480"/>
        <w:rPr>
          <w:rFonts w:ascii="宋体" w:hAnsi="宋体"/>
          <w:bCs/>
          <w:sz w:val="24"/>
        </w:rPr>
      </w:pPr>
      <w:r>
        <w:rPr>
          <w:rFonts w:ascii="宋体" w:hAnsi="宋体"/>
          <w:bCs/>
          <w:sz w:val="24"/>
        </w:rPr>
        <w:t>（22）当基金管理人将其义务委托第三方处理时，应当对第三方处理有关基金事务的行为承担责任；</w:t>
      </w:r>
    </w:p>
    <w:p w14:paraId="53E8A23C" w14:textId="77777777" w:rsidR="00DD2567" w:rsidRDefault="00680E4C">
      <w:pPr>
        <w:spacing w:line="360" w:lineRule="auto"/>
        <w:ind w:firstLineChars="200" w:firstLine="480"/>
        <w:rPr>
          <w:rFonts w:ascii="宋体" w:hAnsi="宋体"/>
          <w:bCs/>
          <w:sz w:val="24"/>
        </w:rPr>
      </w:pPr>
      <w:r>
        <w:rPr>
          <w:rFonts w:ascii="宋体" w:hAnsi="宋体"/>
          <w:bCs/>
          <w:sz w:val="24"/>
        </w:rPr>
        <w:t>（23）以基金管理人名义，代表基金份额持有人利益行使诉讼权利或实施其他法律行为；</w:t>
      </w:r>
    </w:p>
    <w:p w14:paraId="1EA4B4EF" w14:textId="77777777" w:rsidR="00DD2567" w:rsidRDefault="00680E4C">
      <w:pPr>
        <w:spacing w:line="360" w:lineRule="auto"/>
        <w:ind w:firstLineChars="200" w:firstLine="480"/>
        <w:rPr>
          <w:rFonts w:ascii="宋体" w:hAnsi="宋体"/>
          <w:bCs/>
          <w:sz w:val="24"/>
        </w:rPr>
      </w:pPr>
      <w:r>
        <w:rPr>
          <w:rFonts w:ascii="宋体" w:hAnsi="宋体"/>
          <w:bCs/>
          <w:sz w:val="24"/>
        </w:rPr>
        <w:t>（24）基金管理人在募集期间未能达到基金的备案条件，《基金合同》不能生效，基金管理人承担全部募集费用，将已募集资金并加计银行同期</w:t>
      </w:r>
      <w:r>
        <w:rPr>
          <w:rFonts w:ascii="宋体" w:hAnsi="宋体" w:hint="eastAsia"/>
          <w:bCs/>
          <w:sz w:val="24"/>
        </w:rPr>
        <w:t>活期</w:t>
      </w:r>
      <w:r>
        <w:rPr>
          <w:rFonts w:ascii="宋体" w:hAnsi="宋体"/>
          <w:bCs/>
          <w:sz w:val="24"/>
        </w:rPr>
        <w:t>存款利息在基金募集期结束后</w:t>
      </w:r>
      <w:r>
        <w:rPr>
          <w:rFonts w:ascii="宋体" w:hAnsi="宋体" w:hint="eastAsia"/>
          <w:bCs/>
          <w:sz w:val="24"/>
        </w:rPr>
        <w:t>30</w:t>
      </w:r>
      <w:r>
        <w:rPr>
          <w:rFonts w:ascii="宋体" w:hAnsi="宋体"/>
          <w:bCs/>
          <w:sz w:val="24"/>
        </w:rPr>
        <w:t>日内退还基金认购人；</w:t>
      </w:r>
    </w:p>
    <w:p w14:paraId="2FBE0633" w14:textId="77777777" w:rsidR="00DD2567" w:rsidRDefault="00680E4C">
      <w:pPr>
        <w:spacing w:line="360" w:lineRule="auto"/>
        <w:ind w:firstLineChars="200" w:firstLine="480"/>
        <w:rPr>
          <w:rFonts w:ascii="宋体" w:hAnsi="宋体"/>
          <w:bCs/>
          <w:sz w:val="24"/>
        </w:rPr>
      </w:pPr>
      <w:r>
        <w:rPr>
          <w:rFonts w:ascii="宋体" w:hAnsi="宋体"/>
          <w:bCs/>
          <w:sz w:val="24"/>
        </w:rPr>
        <w:t>（25）执行生效的基金份额持有人大会的</w:t>
      </w:r>
      <w:r>
        <w:rPr>
          <w:rFonts w:ascii="宋体" w:hAnsi="宋体" w:hint="eastAsia"/>
          <w:bCs/>
          <w:sz w:val="24"/>
        </w:rPr>
        <w:t>决议</w:t>
      </w:r>
      <w:r>
        <w:rPr>
          <w:rFonts w:ascii="宋体" w:hAnsi="宋体"/>
          <w:bCs/>
          <w:sz w:val="24"/>
        </w:rPr>
        <w:t>；</w:t>
      </w:r>
    </w:p>
    <w:p w14:paraId="2800900C" w14:textId="77777777" w:rsidR="00DD2567" w:rsidRDefault="00680E4C">
      <w:pPr>
        <w:spacing w:line="360" w:lineRule="auto"/>
        <w:ind w:firstLineChars="200" w:firstLine="480"/>
        <w:rPr>
          <w:rFonts w:ascii="宋体" w:hAnsi="宋体"/>
          <w:bCs/>
          <w:sz w:val="24"/>
        </w:rPr>
      </w:pPr>
      <w:r>
        <w:rPr>
          <w:rFonts w:ascii="宋体" w:hAnsi="宋体"/>
          <w:bCs/>
          <w:sz w:val="24"/>
        </w:rPr>
        <w:t>（26）建立并保存基金份额持有人名册；</w:t>
      </w:r>
    </w:p>
    <w:p w14:paraId="38A2D4B5" w14:textId="77777777" w:rsidR="00DD2567" w:rsidRDefault="00680E4C">
      <w:pPr>
        <w:spacing w:line="360" w:lineRule="auto"/>
        <w:ind w:firstLineChars="200" w:firstLine="480"/>
        <w:rPr>
          <w:rFonts w:ascii="宋体" w:hAnsi="宋体"/>
          <w:bCs/>
          <w:sz w:val="24"/>
        </w:rPr>
      </w:pPr>
      <w:r>
        <w:rPr>
          <w:rFonts w:ascii="宋体" w:hAnsi="宋体"/>
          <w:bCs/>
          <w:sz w:val="24"/>
        </w:rPr>
        <w:t>（27）法律法规及中国证监会规定的和《基金合同》约定的其他义务。</w:t>
      </w:r>
    </w:p>
    <w:p w14:paraId="59C6EE02" w14:textId="77777777" w:rsidR="00DD2567" w:rsidRDefault="00680E4C">
      <w:pPr>
        <w:spacing w:line="360" w:lineRule="auto"/>
        <w:ind w:firstLineChars="200" w:firstLine="480"/>
        <w:rPr>
          <w:rFonts w:ascii="宋体" w:hAnsi="宋体"/>
          <w:bCs/>
          <w:sz w:val="24"/>
        </w:rPr>
      </w:pPr>
      <w:r>
        <w:rPr>
          <w:rFonts w:ascii="宋体" w:hAnsi="宋体"/>
          <w:bCs/>
          <w:sz w:val="24"/>
        </w:rPr>
        <w:t>二</w:t>
      </w:r>
      <w:r>
        <w:rPr>
          <w:rFonts w:ascii="宋体" w:hAnsi="宋体" w:hint="eastAsia"/>
          <w:bCs/>
          <w:sz w:val="24"/>
        </w:rPr>
        <w:t>、</w:t>
      </w:r>
      <w:r>
        <w:rPr>
          <w:rFonts w:ascii="宋体" w:hAnsi="宋体"/>
          <w:bCs/>
          <w:sz w:val="24"/>
        </w:rPr>
        <w:tab/>
        <w:t>基金托管人的权利</w:t>
      </w:r>
      <w:r>
        <w:rPr>
          <w:rFonts w:ascii="宋体" w:hAnsi="宋体" w:hint="eastAsia"/>
          <w:bCs/>
          <w:sz w:val="24"/>
        </w:rPr>
        <w:t>、</w:t>
      </w:r>
      <w:r>
        <w:rPr>
          <w:rFonts w:ascii="宋体" w:hAnsi="宋体"/>
          <w:bCs/>
          <w:sz w:val="24"/>
        </w:rPr>
        <w:t>义务</w:t>
      </w:r>
    </w:p>
    <w:p w14:paraId="3FA59CCA" w14:textId="77777777" w:rsidR="00DD2567" w:rsidRDefault="00680E4C">
      <w:pPr>
        <w:spacing w:line="360" w:lineRule="auto"/>
        <w:ind w:firstLineChars="200" w:firstLine="480"/>
        <w:rPr>
          <w:rFonts w:ascii="宋体" w:hAnsi="宋体"/>
          <w:bCs/>
          <w:sz w:val="24"/>
        </w:rPr>
      </w:pPr>
      <w:r>
        <w:rPr>
          <w:rFonts w:ascii="宋体" w:hAnsi="宋体"/>
          <w:bCs/>
          <w:sz w:val="24"/>
        </w:rPr>
        <w:t>1、根据《基金法》、《运作办法》及其他有关规定，基金托管人的权利包括但不限于：</w:t>
      </w:r>
    </w:p>
    <w:p w14:paraId="4F7CD7F6"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（1）自《基金合同》生效之日起，依法律法规和《基金合同》的规定安全保管基金财产；</w:t>
      </w:r>
    </w:p>
    <w:p w14:paraId="0375C566" w14:textId="77777777" w:rsidR="00DD2567" w:rsidRDefault="00680E4C">
      <w:pPr>
        <w:spacing w:line="360" w:lineRule="auto"/>
        <w:ind w:firstLineChars="200" w:firstLine="480"/>
        <w:rPr>
          <w:rFonts w:ascii="宋体" w:hAnsi="宋体"/>
          <w:bCs/>
          <w:sz w:val="24"/>
        </w:rPr>
      </w:pPr>
      <w:r>
        <w:rPr>
          <w:rFonts w:ascii="宋体" w:hAnsi="宋体"/>
          <w:bCs/>
          <w:sz w:val="24"/>
        </w:rPr>
        <w:t>（2）依《基金合同》约定获得基金托管费以及法律法规规定或监管部门批准的其他费用；</w:t>
      </w:r>
    </w:p>
    <w:p w14:paraId="5822830A" w14:textId="77777777" w:rsidR="00DD2567" w:rsidRDefault="00680E4C">
      <w:pPr>
        <w:spacing w:line="360" w:lineRule="auto"/>
        <w:ind w:firstLineChars="200" w:firstLine="480"/>
        <w:rPr>
          <w:rFonts w:ascii="宋体" w:hAnsi="宋体"/>
          <w:bCs/>
          <w:sz w:val="24"/>
        </w:rPr>
      </w:pPr>
      <w:r>
        <w:rPr>
          <w:rFonts w:ascii="宋体" w:hAnsi="宋体"/>
          <w:bCs/>
          <w:sz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F09FE2F" w14:textId="77777777" w:rsidR="00DD2567" w:rsidRDefault="00680E4C">
      <w:pPr>
        <w:spacing w:line="360" w:lineRule="auto"/>
        <w:ind w:firstLineChars="200" w:firstLine="480"/>
        <w:rPr>
          <w:rFonts w:ascii="宋体" w:hAnsi="宋体"/>
          <w:bCs/>
          <w:sz w:val="24"/>
        </w:rPr>
      </w:pPr>
      <w:r>
        <w:rPr>
          <w:rFonts w:ascii="宋体" w:hAnsi="宋体"/>
          <w:bCs/>
          <w:sz w:val="24"/>
        </w:rPr>
        <w:t>（4）根据相关市场规则，为基金开设证券</w:t>
      </w:r>
      <w:r>
        <w:rPr>
          <w:rFonts w:ascii="宋体" w:hAnsi="宋体" w:hint="eastAsia"/>
          <w:bCs/>
          <w:sz w:val="24"/>
        </w:rPr>
        <w:t>、期货账户</w:t>
      </w:r>
      <w:r>
        <w:rPr>
          <w:rFonts w:ascii="宋体" w:hAnsi="宋体"/>
          <w:bCs/>
          <w:sz w:val="24"/>
        </w:rPr>
        <w:t>、为基金办理证券</w:t>
      </w:r>
      <w:r>
        <w:rPr>
          <w:rFonts w:ascii="宋体" w:hAnsi="宋体" w:hint="eastAsia"/>
          <w:bCs/>
          <w:sz w:val="24"/>
        </w:rPr>
        <w:t>、期货</w:t>
      </w:r>
      <w:r>
        <w:rPr>
          <w:rFonts w:ascii="宋体" w:hAnsi="宋体"/>
          <w:bCs/>
          <w:sz w:val="24"/>
        </w:rPr>
        <w:t>交易资金清算</w:t>
      </w:r>
      <w:r>
        <w:rPr>
          <w:rFonts w:ascii="宋体" w:hAnsi="宋体" w:hint="eastAsia"/>
          <w:bCs/>
          <w:sz w:val="24"/>
        </w:rPr>
        <w:t>；</w:t>
      </w:r>
    </w:p>
    <w:p w14:paraId="7D692BF5" w14:textId="77777777" w:rsidR="00DD2567" w:rsidRDefault="00680E4C">
      <w:pPr>
        <w:spacing w:line="360" w:lineRule="auto"/>
        <w:ind w:firstLineChars="200" w:firstLine="480"/>
        <w:rPr>
          <w:rFonts w:ascii="宋体" w:hAnsi="宋体"/>
          <w:bCs/>
          <w:sz w:val="24"/>
        </w:rPr>
      </w:pPr>
      <w:r>
        <w:rPr>
          <w:rFonts w:ascii="宋体" w:hAnsi="宋体"/>
          <w:bCs/>
          <w:sz w:val="24"/>
        </w:rPr>
        <w:t>（5）提议召开或召集基金份额持有人大会；</w:t>
      </w:r>
    </w:p>
    <w:p w14:paraId="46C862DE" w14:textId="77777777" w:rsidR="00DD2567" w:rsidRDefault="00680E4C">
      <w:pPr>
        <w:spacing w:line="360" w:lineRule="auto"/>
        <w:ind w:firstLineChars="200" w:firstLine="480"/>
        <w:rPr>
          <w:rFonts w:ascii="宋体" w:hAnsi="宋体"/>
          <w:bCs/>
          <w:sz w:val="24"/>
        </w:rPr>
      </w:pPr>
      <w:r>
        <w:rPr>
          <w:rFonts w:ascii="宋体" w:hAnsi="宋体"/>
          <w:bCs/>
          <w:sz w:val="24"/>
        </w:rPr>
        <w:t>（6）在基金管理人更换时，提名新的基金管理人；</w:t>
      </w:r>
    </w:p>
    <w:p w14:paraId="1085CB13" w14:textId="77777777" w:rsidR="00DD2567" w:rsidRDefault="00680E4C">
      <w:pPr>
        <w:spacing w:line="360" w:lineRule="auto"/>
        <w:ind w:firstLineChars="200" w:firstLine="480"/>
        <w:rPr>
          <w:rFonts w:ascii="宋体" w:hAnsi="宋体"/>
          <w:bCs/>
          <w:sz w:val="24"/>
        </w:rPr>
      </w:pPr>
      <w:r>
        <w:rPr>
          <w:rFonts w:ascii="宋体" w:hAnsi="宋体"/>
          <w:bCs/>
          <w:sz w:val="24"/>
        </w:rPr>
        <w:t>（7）法律法规和《基金合同》规定的其他权利。</w:t>
      </w:r>
    </w:p>
    <w:p w14:paraId="77CC4502" w14:textId="77777777" w:rsidR="00DD2567" w:rsidRDefault="00680E4C">
      <w:pPr>
        <w:spacing w:line="360" w:lineRule="auto"/>
        <w:ind w:firstLineChars="200" w:firstLine="480"/>
        <w:rPr>
          <w:rFonts w:ascii="宋体" w:hAnsi="宋体"/>
          <w:bCs/>
          <w:sz w:val="24"/>
        </w:rPr>
      </w:pPr>
      <w:r>
        <w:rPr>
          <w:rFonts w:ascii="宋体" w:hAnsi="宋体"/>
          <w:bCs/>
          <w:sz w:val="24"/>
        </w:rPr>
        <w:t>2、根据《基金法》、《运作办法》及其他有关规定，基金托管人的义务包括但不限于：</w:t>
      </w:r>
    </w:p>
    <w:p w14:paraId="728044E6" w14:textId="77777777" w:rsidR="00DD2567" w:rsidRDefault="00680E4C">
      <w:pPr>
        <w:spacing w:line="360" w:lineRule="auto"/>
        <w:ind w:firstLineChars="200" w:firstLine="480"/>
        <w:rPr>
          <w:rFonts w:ascii="宋体" w:hAnsi="宋体"/>
          <w:bCs/>
          <w:sz w:val="24"/>
        </w:rPr>
      </w:pPr>
      <w:r>
        <w:rPr>
          <w:rFonts w:ascii="宋体" w:hAnsi="宋体"/>
          <w:bCs/>
          <w:sz w:val="24"/>
        </w:rPr>
        <w:t>（1）以诚实信用、勤勉尽责的原则持有并安全保管基金财产；</w:t>
      </w:r>
    </w:p>
    <w:p w14:paraId="3DE03067" w14:textId="77777777" w:rsidR="00DD2567" w:rsidRDefault="00680E4C">
      <w:pPr>
        <w:spacing w:line="360" w:lineRule="auto"/>
        <w:ind w:firstLineChars="200" w:firstLine="480"/>
        <w:rPr>
          <w:rFonts w:ascii="宋体" w:hAnsi="宋体"/>
          <w:bCs/>
          <w:sz w:val="24"/>
        </w:rPr>
      </w:pPr>
      <w:r>
        <w:rPr>
          <w:rFonts w:ascii="宋体" w:hAnsi="宋体"/>
          <w:bCs/>
          <w:sz w:val="24"/>
        </w:rPr>
        <w:t>（2）设立专门的基金托管部门，具有符合要求的营业场所，配备足够的、合格的熟悉基金托管业务的专职人员，负责基金财产托管事宜；</w:t>
      </w:r>
    </w:p>
    <w:p w14:paraId="5CADBB34" w14:textId="77777777" w:rsidR="00DD2567" w:rsidRDefault="00680E4C">
      <w:pPr>
        <w:spacing w:line="360" w:lineRule="auto"/>
        <w:ind w:firstLineChars="200" w:firstLine="480"/>
        <w:rPr>
          <w:rFonts w:ascii="宋体" w:hAnsi="宋体"/>
          <w:bCs/>
          <w:sz w:val="24"/>
        </w:rPr>
      </w:pPr>
      <w:r>
        <w:rPr>
          <w:rFonts w:ascii="宋体" w:hAnsi="宋体"/>
          <w:bCs/>
          <w:sz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FF3A74A" w14:textId="77777777" w:rsidR="00DD2567" w:rsidRDefault="00680E4C">
      <w:pPr>
        <w:spacing w:line="360" w:lineRule="auto"/>
        <w:ind w:firstLineChars="200" w:firstLine="480"/>
        <w:rPr>
          <w:rFonts w:ascii="宋体" w:hAnsi="宋体"/>
          <w:bCs/>
          <w:sz w:val="24"/>
        </w:rPr>
      </w:pPr>
      <w:r>
        <w:rPr>
          <w:rFonts w:ascii="宋体" w:hAnsi="宋体"/>
          <w:bCs/>
          <w:sz w:val="24"/>
        </w:rPr>
        <w:t>（4）除依据《基金法》、《基金合同》</w:t>
      </w:r>
      <w:r>
        <w:rPr>
          <w:rFonts w:ascii="宋体" w:hAnsi="宋体" w:hint="eastAsia"/>
          <w:bCs/>
          <w:sz w:val="24"/>
        </w:rPr>
        <w:t>、《托管协议》</w:t>
      </w:r>
      <w:r>
        <w:rPr>
          <w:rFonts w:ascii="宋体" w:hAnsi="宋体"/>
          <w:bCs/>
          <w:sz w:val="24"/>
        </w:rPr>
        <w:t>及其他有关规定外，不得利用基金财产为自己及任何第三人谋取利益，不得委托第三人托管基金财产；</w:t>
      </w:r>
    </w:p>
    <w:p w14:paraId="11657CDB" w14:textId="77777777" w:rsidR="00DD2567" w:rsidRDefault="00680E4C">
      <w:pPr>
        <w:spacing w:line="360" w:lineRule="auto"/>
        <w:ind w:firstLineChars="200" w:firstLine="480"/>
        <w:rPr>
          <w:rFonts w:ascii="宋体" w:hAnsi="宋体"/>
          <w:bCs/>
          <w:sz w:val="24"/>
        </w:rPr>
      </w:pPr>
      <w:r>
        <w:rPr>
          <w:rFonts w:ascii="宋体" w:hAnsi="宋体"/>
          <w:bCs/>
          <w:sz w:val="24"/>
        </w:rPr>
        <w:t>（5）保管由基金管理人代表基金签订的与基金有关的重大合同及有关凭证；</w:t>
      </w:r>
    </w:p>
    <w:p w14:paraId="7D738F28" w14:textId="355C07BF" w:rsidR="00DD2567" w:rsidRDefault="00680E4C">
      <w:pPr>
        <w:spacing w:line="360" w:lineRule="auto"/>
        <w:ind w:firstLineChars="200" w:firstLine="480"/>
        <w:rPr>
          <w:rFonts w:ascii="宋体" w:hAnsi="宋体"/>
          <w:bCs/>
          <w:sz w:val="24"/>
        </w:rPr>
      </w:pPr>
      <w:r>
        <w:rPr>
          <w:rFonts w:ascii="宋体" w:hAnsi="宋体"/>
          <w:bCs/>
          <w:sz w:val="24"/>
        </w:rPr>
        <w:t>（6）按规定开设基金财产的资金账户</w:t>
      </w:r>
      <w:r>
        <w:rPr>
          <w:rFonts w:ascii="宋体" w:hAnsi="宋体" w:hint="eastAsia"/>
          <w:bCs/>
          <w:sz w:val="24"/>
        </w:rPr>
        <w:t>、</w:t>
      </w:r>
      <w:r>
        <w:rPr>
          <w:rFonts w:ascii="宋体" w:hAnsi="宋体"/>
          <w:bCs/>
          <w:sz w:val="24"/>
        </w:rPr>
        <w:t>证券账户</w:t>
      </w:r>
      <w:r>
        <w:rPr>
          <w:rFonts w:ascii="宋体" w:hAnsi="宋体" w:hint="eastAsia"/>
          <w:bCs/>
          <w:sz w:val="24"/>
        </w:rPr>
        <w:t>和期货账户等投资所需账户</w:t>
      </w:r>
      <w:r>
        <w:rPr>
          <w:rFonts w:ascii="宋体" w:hAnsi="宋体"/>
          <w:bCs/>
          <w:sz w:val="24"/>
        </w:rPr>
        <w:t>，按照</w:t>
      </w:r>
      <w:r w:rsidR="0085123B">
        <w:rPr>
          <w:rFonts w:ascii="宋体" w:hAnsi="宋体" w:hint="eastAsia"/>
          <w:bCs/>
          <w:sz w:val="24"/>
        </w:rPr>
        <w:t>基金合同</w:t>
      </w:r>
      <w:r>
        <w:rPr>
          <w:rFonts w:ascii="宋体" w:hAnsi="宋体" w:hint="eastAsia"/>
          <w:bCs/>
          <w:sz w:val="24"/>
        </w:rPr>
        <w:t>及托管协议</w:t>
      </w:r>
      <w:r>
        <w:rPr>
          <w:rFonts w:ascii="宋体" w:hAnsi="宋体"/>
          <w:bCs/>
          <w:sz w:val="24"/>
        </w:rPr>
        <w:t>的约定，根据基金管理人的投资指令，及时办理清算、交割事宜；</w:t>
      </w:r>
    </w:p>
    <w:p w14:paraId="5547FB2C" w14:textId="77777777" w:rsidR="00DD2567" w:rsidRDefault="00680E4C">
      <w:pPr>
        <w:spacing w:line="360" w:lineRule="auto"/>
        <w:ind w:firstLineChars="200" w:firstLine="480"/>
        <w:rPr>
          <w:rFonts w:ascii="宋体" w:hAnsi="宋体"/>
          <w:bCs/>
          <w:sz w:val="24"/>
        </w:rPr>
      </w:pPr>
      <w:r>
        <w:rPr>
          <w:rFonts w:ascii="宋体" w:hAnsi="宋体"/>
          <w:bCs/>
          <w:sz w:val="24"/>
        </w:rPr>
        <w:t>（7）保守基金商业秘密，除《基金法》、《基金合同》</w:t>
      </w:r>
      <w:r>
        <w:rPr>
          <w:rFonts w:ascii="宋体" w:hAnsi="宋体" w:hint="eastAsia"/>
          <w:bCs/>
          <w:sz w:val="24"/>
        </w:rPr>
        <w:t>、《托管协议》</w:t>
      </w:r>
      <w:r>
        <w:rPr>
          <w:rFonts w:ascii="宋体" w:hAnsi="宋体"/>
          <w:bCs/>
          <w:sz w:val="24"/>
        </w:rPr>
        <w:t>及其他有关规定另有规定外，在基金信息公开披露前予以保密，不得向他人泄露</w:t>
      </w:r>
      <w:r>
        <w:rPr>
          <w:rFonts w:ascii="宋体" w:hAnsi="宋体" w:hint="eastAsia"/>
          <w:bCs/>
          <w:sz w:val="24"/>
        </w:rPr>
        <w:t>，因审</w:t>
      </w:r>
      <w:r>
        <w:rPr>
          <w:rFonts w:ascii="宋体" w:hAnsi="宋体" w:hint="eastAsia"/>
          <w:bCs/>
          <w:sz w:val="24"/>
        </w:rPr>
        <w:lastRenderedPageBreak/>
        <w:t>计、法律等外部专业顾问提供的情况除外</w:t>
      </w:r>
      <w:r>
        <w:rPr>
          <w:rFonts w:ascii="宋体" w:hAnsi="宋体"/>
          <w:bCs/>
          <w:sz w:val="24"/>
        </w:rPr>
        <w:t>；</w:t>
      </w:r>
    </w:p>
    <w:p w14:paraId="457BBAC0" w14:textId="77777777" w:rsidR="00DD2567" w:rsidRDefault="00680E4C">
      <w:pPr>
        <w:spacing w:line="360" w:lineRule="auto"/>
        <w:ind w:firstLineChars="200" w:firstLine="480"/>
        <w:rPr>
          <w:rFonts w:ascii="宋体" w:hAnsi="宋体"/>
          <w:bCs/>
          <w:sz w:val="24"/>
        </w:rPr>
      </w:pPr>
      <w:r>
        <w:rPr>
          <w:rFonts w:ascii="宋体" w:hAnsi="宋体"/>
          <w:bCs/>
          <w:sz w:val="24"/>
        </w:rPr>
        <w:t>（8）复核、审查基金管理人计算的基金资产净值、基金份额申购、赎回价格；</w:t>
      </w:r>
    </w:p>
    <w:p w14:paraId="36B82394" w14:textId="77777777" w:rsidR="00DD2567" w:rsidRDefault="00680E4C">
      <w:pPr>
        <w:spacing w:line="360" w:lineRule="auto"/>
        <w:ind w:firstLineChars="200" w:firstLine="480"/>
        <w:rPr>
          <w:rFonts w:ascii="宋体" w:hAnsi="宋体"/>
          <w:bCs/>
          <w:sz w:val="24"/>
        </w:rPr>
      </w:pPr>
      <w:r>
        <w:rPr>
          <w:rFonts w:ascii="宋体" w:hAnsi="宋体"/>
          <w:bCs/>
          <w:sz w:val="24"/>
        </w:rPr>
        <w:t>（9）办理与基金托管业务活动有关的信息披露事项；</w:t>
      </w:r>
    </w:p>
    <w:p w14:paraId="5139B7B6" w14:textId="77777777" w:rsidR="00DD2567" w:rsidRDefault="00680E4C">
      <w:pPr>
        <w:spacing w:line="360" w:lineRule="auto"/>
        <w:ind w:firstLineChars="200" w:firstLine="480"/>
        <w:rPr>
          <w:rFonts w:ascii="宋体" w:hAnsi="宋体"/>
          <w:bCs/>
          <w:sz w:val="24"/>
        </w:rPr>
      </w:pPr>
      <w:r>
        <w:rPr>
          <w:rFonts w:ascii="宋体" w:hAnsi="宋体"/>
          <w:bCs/>
          <w:sz w:val="24"/>
        </w:rPr>
        <w:t>（10）对基金财务会计报告、</w:t>
      </w:r>
      <w:r>
        <w:rPr>
          <w:rFonts w:ascii="宋体" w:hAnsi="宋体" w:hint="eastAsia"/>
          <w:bCs/>
          <w:sz w:val="24"/>
        </w:rPr>
        <w:t>季度、</w:t>
      </w:r>
      <w:r>
        <w:rPr>
          <w:rFonts w:ascii="宋体" w:hAnsi="宋体"/>
          <w:bCs/>
          <w:sz w:val="24"/>
        </w:rPr>
        <w:t>半年度和年度基金报告出具意见，说明基金管理人在各重要方面的运作是否严格按照《基金合同》</w:t>
      </w:r>
      <w:r>
        <w:rPr>
          <w:rFonts w:ascii="宋体" w:hAnsi="宋体" w:hint="eastAsia"/>
          <w:bCs/>
          <w:sz w:val="24"/>
        </w:rPr>
        <w:t>及《托管协议》</w:t>
      </w:r>
      <w:r>
        <w:rPr>
          <w:rFonts w:ascii="宋体" w:hAnsi="宋体"/>
          <w:bCs/>
          <w:sz w:val="24"/>
        </w:rPr>
        <w:t>的规定进行；如果基金管理人有未执行《基金合同》</w:t>
      </w:r>
      <w:r>
        <w:rPr>
          <w:rFonts w:ascii="宋体" w:hAnsi="宋体" w:hint="eastAsia"/>
          <w:bCs/>
          <w:sz w:val="24"/>
        </w:rPr>
        <w:t>及《托管协议》</w:t>
      </w:r>
      <w:r>
        <w:rPr>
          <w:rFonts w:ascii="宋体" w:hAnsi="宋体"/>
          <w:bCs/>
          <w:sz w:val="24"/>
        </w:rPr>
        <w:t>规定的行为，还应当说明基金托管人是否采取了适当的措施；</w:t>
      </w:r>
    </w:p>
    <w:p w14:paraId="2E499DE1" w14:textId="77777777" w:rsidR="00DD2567" w:rsidRDefault="00680E4C">
      <w:pPr>
        <w:spacing w:line="360" w:lineRule="auto"/>
        <w:ind w:firstLineChars="200" w:firstLine="480"/>
        <w:rPr>
          <w:rFonts w:ascii="宋体" w:hAnsi="宋体"/>
          <w:bCs/>
          <w:sz w:val="24"/>
        </w:rPr>
      </w:pPr>
      <w:r>
        <w:rPr>
          <w:rFonts w:ascii="宋体" w:hAnsi="宋体"/>
          <w:bCs/>
          <w:sz w:val="24"/>
        </w:rPr>
        <w:t>（11）保存基金托管业务活动的记录、账册、报表和其他相关资料</w:t>
      </w:r>
      <w:r>
        <w:rPr>
          <w:rFonts w:ascii="宋体" w:hAnsi="宋体" w:hint="eastAsia"/>
          <w:bCs/>
          <w:sz w:val="24"/>
        </w:rPr>
        <w:t>15</w:t>
      </w:r>
      <w:r>
        <w:rPr>
          <w:rFonts w:ascii="宋体" w:hAnsi="宋体"/>
          <w:bCs/>
          <w:sz w:val="24"/>
        </w:rPr>
        <w:t>年以上；</w:t>
      </w:r>
    </w:p>
    <w:p w14:paraId="593A95A1" w14:textId="77777777" w:rsidR="00DD2567" w:rsidRDefault="00680E4C">
      <w:pPr>
        <w:spacing w:line="360" w:lineRule="auto"/>
        <w:ind w:firstLineChars="200" w:firstLine="480"/>
        <w:rPr>
          <w:rFonts w:ascii="宋体" w:hAnsi="宋体"/>
          <w:bCs/>
          <w:sz w:val="24"/>
        </w:rPr>
      </w:pPr>
      <w:r>
        <w:rPr>
          <w:rFonts w:ascii="宋体" w:hAnsi="宋体"/>
          <w:bCs/>
          <w:sz w:val="24"/>
        </w:rPr>
        <w:t>（12）</w:t>
      </w:r>
      <w:r>
        <w:rPr>
          <w:rFonts w:ascii="宋体" w:hAnsi="宋体" w:hint="eastAsia"/>
          <w:bCs/>
          <w:sz w:val="24"/>
        </w:rPr>
        <w:t>从基金管理人或其委托的登记机构处接收</w:t>
      </w:r>
      <w:r>
        <w:rPr>
          <w:rFonts w:ascii="宋体" w:hAnsi="宋体"/>
          <w:bCs/>
          <w:sz w:val="24"/>
        </w:rPr>
        <w:t>并保存基金份额持有人名册；</w:t>
      </w:r>
    </w:p>
    <w:p w14:paraId="378B39F9" w14:textId="77777777" w:rsidR="00DD2567" w:rsidRDefault="00680E4C">
      <w:pPr>
        <w:spacing w:line="360" w:lineRule="auto"/>
        <w:ind w:firstLineChars="200" w:firstLine="480"/>
        <w:rPr>
          <w:rFonts w:ascii="宋体" w:hAnsi="宋体"/>
          <w:bCs/>
          <w:sz w:val="24"/>
        </w:rPr>
      </w:pPr>
      <w:r>
        <w:rPr>
          <w:rFonts w:ascii="宋体" w:hAnsi="宋体"/>
          <w:bCs/>
          <w:sz w:val="24"/>
        </w:rPr>
        <w:t>（13）按规定制作相关账册并与基金管理人核对；</w:t>
      </w:r>
    </w:p>
    <w:p w14:paraId="733BE24A" w14:textId="77777777" w:rsidR="00DD2567" w:rsidRDefault="00680E4C">
      <w:pPr>
        <w:spacing w:line="360" w:lineRule="auto"/>
        <w:ind w:firstLineChars="200" w:firstLine="480"/>
        <w:rPr>
          <w:rFonts w:ascii="宋体" w:hAnsi="宋体"/>
          <w:bCs/>
          <w:sz w:val="24"/>
        </w:rPr>
      </w:pPr>
      <w:r>
        <w:rPr>
          <w:rFonts w:ascii="宋体" w:hAnsi="宋体"/>
          <w:bCs/>
          <w:sz w:val="24"/>
        </w:rPr>
        <w:t>（14）依据基金管理人的指令或有关规定向基金份额持有人支付基金收益和赎回款项；</w:t>
      </w:r>
    </w:p>
    <w:p w14:paraId="5B65331B" w14:textId="77777777" w:rsidR="00DD2567" w:rsidRDefault="00680E4C">
      <w:pPr>
        <w:spacing w:line="360" w:lineRule="auto"/>
        <w:ind w:firstLineChars="200" w:firstLine="480"/>
        <w:rPr>
          <w:rFonts w:ascii="宋体" w:hAnsi="宋体"/>
          <w:bCs/>
          <w:sz w:val="24"/>
        </w:rPr>
      </w:pPr>
      <w:r>
        <w:rPr>
          <w:rFonts w:ascii="宋体" w:hAnsi="宋体"/>
          <w:bCs/>
          <w:sz w:val="24"/>
        </w:rPr>
        <w:t>（15）依据《基金法》、《基金合同》及其他有关规定</w:t>
      </w:r>
      <w:r>
        <w:rPr>
          <w:rFonts w:ascii="宋体" w:hAnsi="宋体" w:hint="eastAsia"/>
          <w:bCs/>
          <w:sz w:val="24"/>
        </w:rPr>
        <w:t>，</w:t>
      </w:r>
      <w:r>
        <w:rPr>
          <w:rFonts w:ascii="宋体" w:hAnsi="宋体"/>
          <w:bCs/>
          <w:sz w:val="24"/>
        </w:rPr>
        <w:t>召集基金份额持有人大会或配合</w:t>
      </w:r>
      <w:r>
        <w:rPr>
          <w:rFonts w:ascii="宋体" w:hAnsi="宋体" w:hint="eastAsia"/>
          <w:bCs/>
          <w:sz w:val="24"/>
        </w:rPr>
        <w:t>基金管理人、</w:t>
      </w:r>
      <w:r>
        <w:rPr>
          <w:rFonts w:ascii="宋体" w:hAnsi="宋体"/>
          <w:bCs/>
          <w:sz w:val="24"/>
        </w:rPr>
        <w:t>基金份额持有人依法召集基金份额持有人大会；</w:t>
      </w:r>
    </w:p>
    <w:p w14:paraId="54668752" w14:textId="77777777" w:rsidR="00DD2567" w:rsidRDefault="00680E4C">
      <w:pPr>
        <w:spacing w:line="360" w:lineRule="auto"/>
        <w:ind w:firstLineChars="200" w:firstLine="480"/>
        <w:rPr>
          <w:rFonts w:ascii="宋体" w:hAnsi="宋体"/>
          <w:bCs/>
          <w:sz w:val="24"/>
        </w:rPr>
      </w:pPr>
      <w:r>
        <w:rPr>
          <w:rFonts w:ascii="宋体" w:hAnsi="宋体"/>
          <w:bCs/>
          <w:sz w:val="24"/>
        </w:rPr>
        <w:t>（16）按照法律法规和《基金合同》</w:t>
      </w:r>
      <w:r>
        <w:rPr>
          <w:rFonts w:ascii="宋体" w:hAnsi="宋体" w:hint="eastAsia"/>
          <w:bCs/>
          <w:sz w:val="24"/>
        </w:rPr>
        <w:t>及《托管协议》</w:t>
      </w:r>
      <w:r>
        <w:rPr>
          <w:rFonts w:ascii="宋体" w:hAnsi="宋体"/>
          <w:bCs/>
          <w:sz w:val="24"/>
        </w:rPr>
        <w:t>的规定监督基金管理人的投资运作；</w:t>
      </w:r>
    </w:p>
    <w:p w14:paraId="7C623FEF" w14:textId="77777777" w:rsidR="00DD2567" w:rsidRDefault="00680E4C">
      <w:pPr>
        <w:spacing w:line="360" w:lineRule="auto"/>
        <w:ind w:firstLineChars="200" w:firstLine="480"/>
        <w:rPr>
          <w:rFonts w:ascii="宋体" w:hAnsi="宋体"/>
          <w:bCs/>
          <w:sz w:val="24"/>
        </w:rPr>
      </w:pPr>
      <w:r>
        <w:rPr>
          <w:rFonts w:ascii="宋体" w:hAnsi="宋体"/>
          <w:bCs/>
          <w:sz w:val="24"/>
        </w:rPr>
        <w:t>（17）参加基金财产清算小组，参与基金财产的保管、清理、估价、变现和分配；</w:t>
      </w:r>
    </w:p>
    <w:p w14:paraId="603BAA49" w14:textId="77777777" w:rsidR="00DD2567" w:rsidRDefault="00680E4C">
      <w:pPr>
        <w:spacing w:line="360" w:lineRule="auto"/>
        <w:ind w:firstLineChars="200" w:firstLine="480"/>
        <w:rPr>
          <w:rFonts w:ascii="宋体" w:hAnsi="宋体"/>
          <w:bCs/>
          <w:sz w:val="24"/>
        </w:rPr>
      </w:pPr>
      <w:r>
        <w:rPr>
          <w:rFonts w:ascii="宋体" w:hAnsi="宋体"/>
          <w:bCs/>
          <w:sz w:val="24"/>
        </w:rPr>
        <w:t>（18）面临解散、依法被撤销或者被依法宣告破产时，及时报告中国证监会和银行监管机构，并通知基金管理人；</w:t>
      </w:r>
    </w:p>
    <w:p w14:paraId="6C00931A" w14:textId="77777777" w:rsidR="00DD2567" w:rsidRDefault="00680E4C">
      <w:pPr>
        <w:spacing w:line="360" w:lineRule="auto"/>
        <w:ind w:firstLineChars="200" w:firstLine="480"/>
        <w:rPr>
          <w:rFonts w:ascii="宋体" w:hAnsi="宋体"/>
          <w:bCs/>
          <w:sz w:val="24"/>
        </w:rPr>
      </w:pPr>
      <w:r>
        <w:rPr>
          <w:rFonts w:ascii="宋体" w:hAnsi="宋体"/>
          <w:bCs/>
          <w:sz w:val="24"/>
        </w:rPr>
        <w:t>（19）因违反《基金合同》</w:t>
      </w:r>
      <w:r>
        <w:rPr>
          <w:rFonts w:ascii="宋体" w:hAnsi="宋体" w:hint="eastAsia"/>
          <w:bCs/>
          <w:sz w:val="24"/>
        </w:rPr>
        <w:t>及《托管协议》</w:t>
      </w:r>
      <w:r>
        <w:rPr>
          <w:rFonts w:ascii="宋体" w:hAnsi="宋体"/>
          <w:bCs/>
          <w:sz w:val="24"/>
        </w:rPr>
        <w:t>导致基金财产损失时，应承担赔偿责任，其赔偿责任不因其退任而免除；</w:t>
      </w:r>
    </w:p>
    <w:p w14:paraId="6D182B74" w14:textId="77777777" w:rsidR="00DD2567" w:rsidRDefault="00680E4C">
      <w:pPr>
        <w:spacing w:line="360" w:lineRule="auto"/>
        <w:ind w:firstLineChars="200" w:firstLine="480"/>
        <w:rPr>
          <w:rFonts w:ascii="宋体" w:hAnsi="宋体"/>
          <w:bCs/>
          <w:sz w:val="24"/>
        </w:rPr>
      </w:pPr>
      <w:r>
        <w:rPr>
          <w:rFonts w:ascii="宋体" w:hAnsi="宋体"/>
          <w:bCs/>
          <w:sz w:val="24"/>
        </w:rPr>
        <w:t>（20）按规定监督基金管理人按法律法规和《基金合同》规定履行自己的义务，基金管理人因违反《基金合同》造成基金财产损失时，应为基金份额持有人利益向基金管理人追偿；</w:t>
      </w:r>
    </w:p>
    <w:p w14:paraId="5347E744" w14:textId="77777777" w:rsidR="00DD2567" w:rsidRDefault="00680E4C">
      <w:pPr>
        <w:spacing w:line="360" w:lineRule="auto"/>
        <w:ind w:firstLineChars="200" w:firstLine="480"/>
        <w:rPr>
          <w:rFonts w:ascii="宋体" w:hAnsi="宋体"/>
          <w:bCs/>
          <w:sz w:val="24"/>
        </w:rPr>
      </w:pPr>
      <w:r>
        <w:rPr>
          <w:rFonts w:ascii="宋体" w:hAnsi="宋体"/>
          <w:bCs/>
          <w:sz w:val="24"/>
        </w:rPr>
        <w:t>（21）执行生效的基金份额持有人大会的决</w:t>
      </w:r>
      <w:r>
        <w:rPr>
          <w:rFonts w:ascii="宋体" w:hAnsi="宋体" w:hint="eastAsia"/>
          <w:bCs/>
          <w:sz w:val="24"/>
        </w:rPr>
        <w:t>议</w:t>
      </w:r>
      <w:r>
        <w:rPr>
          <w:rFonts w:ascii="宋体" w:hAnsi="宋体"/>
          <w:bCs/>
          <w:sz w:val="24"/>
        </w:rPr>
        <w:t>；</w:t>
      </w:r>
    </w:p>
    <w:p w14:paraId="08800BBA" w14:textId="77777777" w:rsidR="00DD2567" w:rsidRDefault="00680E4C">
      <w:pPr>
        <w:spacing w:line="360" w:lineRule="auto"/>
        <w:ind w:firstLineChars="200" w:firstLine="480"/>
        <w:rPr>
          <w:rFonts w:ascii="宋体" w:hAnsi="宋体"/>
          <w:bCs/>
          <w:sz w:val="24"/>
        </w:rPr>
      </w:pPr>
      <w:r>
        <w:rPr>
          <w:rFonts w:ascii="宋体" w:hAnsi="宋体"/>
          <w:bCs/>
          <w:sz w:val="24"/>
        </w:rPr>
        <w:t>（22）法律法规及中国证监会规定的和《基金合同》约定的其他义务。</w:t>
      </w:r>
    </w:p>
    <w:p w14:paraId="334E80E3"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三、基金份额持有人</w:t>
      </w:r>
    </w:p>
    <w:p w14:paraId="65B365A5" w14:textId="77777777" w:rsidR="00DD2567" w:rsidRDefault="00680E4C">
      <w:pPr>
        <w:spacing w:line="360" w:lineRule="auto"/>
        <w:ind w:firstLineChars="200" w:firstLine="480"/>
        <w:rPr>
          <w:rFonts w:ascii="宋体" w:hAnsi="宋体"/>
          <w:bCs/>
          <w:sz w:val="24"/>
        </w:rPr>
      </w:pPr>
      <w:r>
        <w:rPr>
          <w:rFonts w:ascii="宋体" w:hAnsi="宋体"/>
          <w:bCs/>
          <w:sz w:val="24"/>
        </w:rPr>
        <w:t>基金投资者</w:t>
      </w:r>
      <w:r>
        <w:rPr>
          <w:rFonts w:ascii="宋体" w:hAnsi="宋体" w:hint="eastAsia"/>
          <w:bCs/>
          <w:sz w:val="24"/>
        </w:rPr>
        <w:t>持有</w:t>
      </w:r>
      <w:r>
        <w:rPr>
          <w:rFonts w:ascii="宋体" w:hAnsi="宋体"/>
          <w:bCs/>
          <w:sz w:val="24"/>
        </w:rPr>
        <w:t>本基金基金份额的行为即视为对《基金合同》的承认和接受，基金投资者自依据《基金合同》取得的基金份额，即成为本基金份额持有人和《基金合同》的当事人，直至其不再持有本基金的基金份额。基金份额持有人作为《基金合同》当事人并不以在《基金合同》上书面签章或签字为必要条件。</w:t>
      </w:r>
    </w:p>
    <w:p w14:paraId="2E4F5B56" w14:textId="77777777" w:rsidR="00DD2567" w:rsidRDefault="00680E4C">
      <w:pPr>
        <w:spacing w:line="360" w:lineRule="auto"/>
        <w:ind w:firstLineChars="200" w:firstLine="480"/>
        <w:rPr>
          <w:rFonts w:ascii="宋体" w:hAnsi="宋体"/>
          <w:bCs/>
          <w:sz w:val="24"/>
        </w:rPr>
      </w:pPr>
      <w:r>
        <w:rPr>
          <w:rFonts w:ascii="宋体" w:hAnsi="宋体"/>
          <w:bCs/>
          <w:sz w:val="24"/>
        </w:rPr>
        <w:t>每份基金份额具有同等的合法权益。</w:t>
      </w:r>
    </w:p>
    <w:p w14:paraId="356FB767" w14:textId="77777777" w:rsidR="00DD2567" w:rsidRDefault="00680E4C">
      <w:pPr>
        <w:spacing w:line="360" w:lineRule="auto"/>
        <w:ind w:firstLineChars="200" w:firstLine="480"/>
        <w:rPr>
          <w:rFonts w:ascii="宋体" w:hAnsi="宋体"/>
          <w:bCs/>
          <w:sz w:val="24"/>
        </w:rPr>
      </w:pPr>
      <w:r>
        <w:rPr>
          <w:rFonts w:ascii="宋体" w:hAnsi="宋体"/>
          <w:bCs/>
          <w:sz w:val="24"/>
        </w:rPr>
        <w:t>1、根据《基金法》、《运作办法》及其他有关规定，基金份额持有人的权利包括但不限于：</w:t>
      </w:r>
    </w:p>
    <w:p w14:paraId="19DBB6FF" w14:textId="77777777" w:rsidR="00DD2567" w:rsidRDefault="00680E4C">
      <w:pPr>
        <w:spacing w:line="360" w:lineRule="auto"/>
        <w:ind w:firstLineChars="200" w:firstLine="480"/>
        <w:rPr>
          <w:rFonts w:ascii="宋体" w:hAnsi="宋体"/>
          <w:bCs/>
          <w:sz w:val="24"/>
        </w:rPr>
      </w:pPr>
      <w:r>
        <w:rPr>
          <w:rFonts w:ascii="宋体" w:hAnsi="宋体"/>
          <w:bCs/>
          <w:sz w:val="24"/>
        </w:rPr>
        <w:t>（1）分享基金财产收益；</w:t>
      </w:r>
    </w:p>
    <w:p w14:paraId="1D08208B" w14:textId="77777777" w:rsidR="00DD2567" w:rsidRDefault="00680E4C">
      <w:pPr>
        <w:spacing w:line="360" w:lineRule="auto"/>
        <w:ind w:firstLineChars="200" w:firstLine="480"/>
        <w:rPr>
          <w:rFonts w:ascii="宋体" w:hAnsi="宋体"/>
          <w:bCs/>
          <w:sz w:val="24"/>
        </w:rPr>
      </w:pPr>
      <w:r>
        <w:rPr>
          <w:rFonts w:ascii="宋体" w:hAnsi="宋体"/>
          <w:bCs/>
          <w:sz w:val="24"/>
        </w:rPr>
        <w:t>（2）参与分配清算后的剩余基金财产；</w:t>
      </w:r>
    </w:p>
    <w:p w14:paraId="5BD5280C" w14:textId="77777777" w:rsidR="00DD2567" w:rsidRDefault="00680E4C">
      <w:pPr>
        <w:spacing w:line="360" w:lineRule="auto"/>
        <w:ind w:firstLineChars="200" w:firstLine="480"/>
        <w:rPr>
          <w:rFonts w:ascii="宋体" w:hAnsi="宋体"/>
          <w:bCs/>
          <w:sz w:val="24"/>
        </w:rPr>
      </w:pPr>
      <w:r>
        <w:rPr>
          <w:rFonts w:ascii="宋体" w:hAnsi="宋体"/>
          <w:bCs/>
          <w:sz w:val="24"/>
        </w:rPr>
        <w:t>（3）依法申请赎回</w:t>
      </w:r>
      <w:r>
        <w:rPr>
          <w:rFonts w:ascii="宋体" w:hAnsi="宋体" w:hint="eastAsia"/>
          <w:bCs/>
          <w:sz w:val="24"/>
        </w:rPr>
        <w:t>或转让</w:t>
      </w:r>
      <w:r>
        <w:rPr>
          <w:rFonts w:ascii="宋体" w:hAnsi="宋体"/>
          <w:bCs/>
          <w:sz w:val="24"/>
        </w:rPr>
        <w:t>其持有的基金份额；</w:t>
      </w:r>
    </w:p>
    <w:p w14:paraId="1B6E2D01" w14:textId="77777777" w:rsidR="00DD2567" w:rsidRDefault="00680E4C">
      <w:pPr>
        <w:spacing w:line="360" w:lineRule="auto"/>
        <w:ind w:firstLineChars="200" w:firstLine="480"/>
        <w:rPr>
          <w:rFonts w:ascii="宋体" w:hAnsi="宋体"/>
          <w:bCs/>
          <w:sz w:val="24"/>
        </w:rPr>
      </w:pPr>
      <w:r>
        <w:rPr>
          <w:rFonts w:ascii="宋体" w:hAnsi="宋体"/>
          <w:bCs/>
          <w:sz w:val="24"/>
        </w:rPr>
        <w:t>（4）按照规定要求召开基金份额持有人大会</w:t>
      </w:r>
      <w:r>
        <w:rPr>
          <w:rFonts w:ascii="宋体" w:hAnsi="宋体" w:hint="eastAsia"/>
          <w:bCs/>
          <w:sz w:val="24"/>
        </w:rPr>
        <w:t>或者召集基金份额持有人大会</w:t>
      </w:r>
      <w:r>
        <w:rPr>
          <w:rFonts w:ascii="宋体" w:hAnsi="宋体"/>
          <w:bCs/>
          <w:sz w:val="24"/>
        </w:rPr>
        <w:t>；</w:t>
      </w:r>
    </w:p>
    <w:p w14:paraId="6CC12E44" w14:textId="77777777" w:rsidR="00DD2567" w:rsidRDefault="00680E4C">
      <w:pPr>
        <w:spacing w:line="360" w:lineRule="auto"/>
        <w:ind w:firstLineChars="200" w:firstLine="480"/>
        <w:rPr>
          <w:rFonts w:ascii="宋体" w:hAnsi="宋体"/>
          <w:bCs/>
          <w:sz w:val="24"/>
        </w:rPr>
      </w:pPr>
      <w:r>
        <w:rPr>
          <w:rFonts w:ascii="宋体" w:hAnsi="宋体"/>
          <w:bCs/>
          <w:sz w:val="24"/>
        </w:rPr>
        <w:t>（5）出席或者委派代表出席基金份额持有人大会，对基金份额持有人大会审议事项行使表决权；</w:t>
      </w:r>
    </w:p>
    <w:p w14:paraId="4A18DBAA" w14:textId="77777777" w:rsidR="00DD2567" w:rsidRDefault="00680E4C">
      <w:pPr>
        <w:spacing w:line="360" w:lineRule="auto"/>
        <w:ind w:firstLineChars="200" w:firstLine="480"/>
        <w:rPr>
          <w:rFonts w:ascii="宋体" w:hAnsi="宋体"/>
          <w:bCs/>
          <w:sz w:val="24"/>
        </w:rPr>
      </w:pPr>
      <w:r>
        <w:rPr>
          <w:rFonts w:ascii="宋体" w:hAnsi="宋体"/>
          <w:bCs/>
          <w:sz w:val="24"/>
        </w:rPr>
        <w:t>（6）查阅或者复制公开披露的基金信息资料；</w:t>
      </w:r>
    </w:p>
    <w:p w14:paraId="36AFF76E" w14:textId="77777777" w:rsidR="00DD2567" w:rsidRDefault="00680E4C">
      <w:pPr>
        <w:spacing w:line="360" w:lineRule="auto"/>
        <w:ind w:firstLineChars="200" w:firstLine="480"/>
        <w:rPr>
          <w:rFonts w:ascii="宋体" w:hAnsi="宋体"/>
          <w:bCs/>
          <w:sz w:val="24"/>
        </w:rPr>
      </w:pPr>
      <w:r>
        <w:rPr>
          <w:rFonts w:ascii="宋体" w:hAnsi="宋体"/>
          <w:bCs/>
          <w:sz w:val="24"/>
        </w:rPr>
        <w:t>（7）监督基金管理人的投资运作；</w:t>
      </w:r>
    </w:p>
    <w:p w14:paraId="17B3F54E" w14:textId="77777777" w:rsidR="00DD2567" w:rsidRDefault="00680E4C">
      <w:pPr>
        <w:spacing w:line="360" w:lineRule="auto"/>
        <w:ind w:firstLineChars="200" w:firstLine="480"/>
        <w:rPr>
          <w:rFonts w:ascii="宋体" w:hAnsi="宋体"/>
          <w:bCs/>
          <w:sz w:val="24"/>
        </w:rPr>
      </w:pPr>
      <w:r>
        <w:rPr>
          <w:rFonts w:ascii="宋体" w:hAnsi="宋体"/>
          <w:bCs/>
          <w:sz w:val="24"/>
        </w:rPr>
        <w:t>（8）对基金管理人、基金托管人、基金</w:t>
      </w:r>
      <w:r>
        <w:rPr>
          <w:rFonts w:ascii="宋体" w:hAnsi="宋体" w:hint="eastAsia"/>
          <w:bCs/>
          <w:sz w:val="24"/>
        </w:rPr>
        <w:t>服务</w:t>
      </w:r>
      <w:r>
        <w:rPr>
          <w:rFonts w:ascii="宋体" w:hAnsi="宋体"/>
          <w:bCs/>
          <w:sz w:val="24"/>
        </w:rPr>
        <w:t>机构损害其合法权益的行为依法提起诉讼或仲裁；</w:t>
      </w:r>
    </w:p>
    <w:p w14:paraId="6DD6699B" w14:textId="77777777" w:rsidR="00DD2567" w:rsidRDefault="00680E4C">
      <w:pPr>
        <w:spacing w:line="360" w:lineRule="auto"/>
        <w:ind w:firstLineChars="200" w:firstLine="480"/>
        <w:rPr>
          <w:rFonts w:ascii="宋体" w:hAnsi="宋体"/>
          <w:bCs/>
          <w:sz w:val="24"/>
        </w:rPr>
      </w:pPr>
      <w:r>
        <w:rPr>
          <w:rFonts w:ascii="宋体" w:hAnsi="宋体"/>
          <w:bCs/>
          <w:sz w:val="24"/>
        </w:rPr>
        <w:t>（9）法律法规和《基金合同》规定的其他权利。</w:t>
      </w:r>
    </w:p>
    <w:p w14:paraId="559E48F5" w14:textId="77777777" w:rsidR="00DD2567" w:rsidRDefault="00680E4C">
      <w:pPr>
        <w:spacing w:line="360" w:lineRule="auto"/>
        <w:ind w:firstLineChars="200" w:firstLine="480"/>
        <w:rPr>
          <w:rFonts w:ascii="宋体" w:hAnsi="宋体"/>
          <w:bCs/>
          <w:sz w:val="24"/>
        </w:rPr>
      </w:pPr>
      <w:r>
        <w:rPr>
          <w:rFonts w:ascii="宋体" w:hAnsi="宋体"/>
          <w:bCs/>
          <w:sz w:val="24"/>
        </w:rPr>
        <w:t>2、根据《基金法》、《运作办法》及其他有关规定，基金份额持有人的义务包括但不限于：</w:t>
      </w:r>
    </w:p>
    <w:p w14:paraId="3461BD57" w14:textId="77777777" w:rsidR="00DD2567" w:rsidRDefault="00680E4C">
      <w:pPr>
        <w:spacing w:line="360" w:lineRule="auto"/>
        <w:ind w:firstLineChars="200" w:firstLine="480"/>
        <w:rPr>
          <w:rFonts w:ascii="宋体" w:hAnsi="宋体"/>
          <w:bCs/>
          <w:sz w:val="24"/>
        </w:rPr>
      </w:pPr>
      <w:r>
        <w:rPr>
          <w:rFonts w:ascii="宋体" w:hAnsi="宋体"/>
          <w:bCs/>
          <w:sz w:val="24"/>
        </w:rPr>
        <w:t>（1）认真阅读并遵守《基金合同》</w:t>
      </w:r>
      <w:r>
        <w:rPr>
          <w:rFonts w:ascii="宋体" w:hAnsi="宋体" w:hint="eastAsia"/>
          <w:bCs/>
          <w:sz w:val="24"/>
        </w:rPr>
        <w:t>、招募说明书等信息披露文</w:t>
      </w:r>
      <w:r>
        <w:rPr>
          <w:rFonts w:ascii="宋体" w:hAnsi="宋体"/>
          <w:bCs/>
          <w:sz w:val="24"/>
        </w:rPr>
        <w:t>；</w:t>
      </w:r>
    </w:p>
    <w:p w14:paraId="24A98062" w14:textId="77777777" w:rsidR="00DD2567" w:rsidRDefault="00680E4C">
      <w:pPr>
        <w:spacing w:line="360" w:lineRule="auto"/>
        <w:ind w:firstLineChars="200" w:firstLine="480"/>
        <w:rPr>
          <w:rFonts w:ascii="宋体" w:hAnsi="宋体"/>
          <w:bCs/>
          <w:sz w:val="24"/>
        </w:rPr>
      </w:pPr>
      <w:r>
        <w:rPr>
          <w:rFonts w:ascii="宋体" w:hAnsi="宋体"/>
          <w:bCs/>
          <w:sz w:val="24"/>
        </w:rPr>
        <w:t>（2）了解所投资基金产品，了解自身风险承受能力</w:t>
      </w:r>
      <w:r>
        <w:rPr>
          <w:rFonts w:ascii="宋体" w:hAnsi="宋体" w:hint="eastAsia"/>
          <w:bCs/>
          <w:sz w:val="24"/>
        </w:rPr>
        <w:t>,自主判断基金的投资价值，自主做出投资决策，</w:t>
      </w:r>
      <w:r>
        <w:rPr>
          <w:rFonts w:ascii="宋体" w:hAnsi="宋体"/>
          <w:bCs/>
          <w:sz w:val="24"/>
        </w:rPr>
        <w:t>自行承担投资风险；</w:t>
      </w:r>
    </w:p>
    <w:p w14:paraId="15AEF7E9" w14:textId="77777777" w:rsidR="00DD2567" w:rsidRDefault="00680E4C">
      <w:pPr>
        <w:spacing w:line="360" w:lineRule="auto"/>
        <w:ind w:firstLineChars="200" w:firstLine="480"/>
        <w:rPr>
          <w:rFonts w:ascii="宋体" w:hAnsi="宋体"/>
          <w:bCs/>
          <w:sz w:val="24"/>
        </w:rPr>
      </w:pPr>
      <w:r>
        <w:rPr>
          <w:rFonts w:ascii="宋体" w:hAnsi="宋体"/>
          <w:bCs/>
          <w:sz w:val="24"/>
        </w:rPr>
        <w:t>（3）关注基金信息披露，及时行使权利和履行义务；</w:t>
      </w:r>
    </w:p>
    <w:p w14:paraId="746963FB" w14:textId="77777777" w:rsidR="00DD2567" w:rsidRDefault="00680E4C">
      <w:pPr>
        <w:spacing w:line="360" w:lineRule="auto"/>
        <w:ind w:firstLineChars="200" w:firstLine="480"/>
        <w:rPr>
          <w:rFonts w:ascii="宋体" w:hAnsi="宋体"/>
          <w:bCs/>
          <w:sz w:val="24"/>
        </w:rPr>
      </w:pPr>
      <w:r>
        <w:rPr>
          <w:rFonts w:ascii="宋体" w:hAnsi="宋体"/>
          <w:bCs/>
          <w:sz w:val="24"/>
        </w:rPr>
        <w:t>（4）缴纳基金认购、申购款项及法律法规和《基金合同》所规定的费用；</w:t>
      </w:r>
    </w:p>
    <w:p w14:paraId="0A2D992F" w14:textId="77777777" w:rsidR="00DD2567" w:rsidRDefault="00680E4C">
      <w:pPr>
        <w:spacing w:line="360" w:lineRule="auto"/>
        <w:ind w:firstLineChars="200" w:firstLine="480"/>
        <w:rPr>
          <w:rFonts w:ascii="宋体" w:hAnsi="宋体"/>
          <w:bCs/>
          <w:sz w:val="24"/>
        </w:rPr>
      </w:pPr>
      <w:r>
        <w:rPr>
          <w:rFonts w:ascii="宋体" w:hAnsi="宋体"/>
          <w:bCs/>
          <w:sz w:val="24"/>
        </w:rPr>
        <w:t>（5）在其持有的基金份额范围内，承担基金亏损或者《基金合同》终止的有限责任；</w:t>
      </w:r>
    </w:p>
    <w:p w14:paraId="125A6370" w14:textId="77777777" w:rsidR="00DD2567" w:rsidRDefault="00680E4C">
      <w:pPr>
        <w:spacing w:line="360" w:lineRule="auto"/>
        <w:ind w:firstLineChars="200" w:firstLine="480"/>
        <w:rPr>
          <w:rFonts w:ascii="宋体" w:hAnsi="宋体"/>
          <w:bCs/>
          <w:sz w:val="24"/>
        </w:rPr>
      </w:pPr>
      <w:r>
        <w:rPr>
          <w:rFonts w:ascii="宋体" w:hAnsi="宋体"/>
          <w:bCs/>
          <w:sz w:val="24"/>
        </w:rPr>
        <w:t>（6）不从事任何有损基金及其他《基金合同》当事人合法权益的活动；</w:t>
      </w:r>
    </w:p>
    <w:p w14:paraId="30A57E7B"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（7）执行生效的基金份额持有人大会的决</w:t>
      </w:r>
      <w:r>
        <w:rPr>
          <w:rFonts w:ascii="宋体" w:hAnsi="宋体" w:hint="eastAsia"/>
          <w:bCs/>
          <w:sz w:val="24"/>
        </w:rPr>
        <w:t>议</w:t>
      </w:r>
      <w:r>
        <w:rPr>
          <w:rFonts w:ascii="宋体" w:hAnsi="宋体"/>
          <w:bCs/>
          <w:sz w:val="24"/>
        </w:rPr>
        <w:t>；</w:t>
      </w:r>
    </w:p>
    <w:p w14:paraId="57F1F066" w14:textId="77777777" w:rsidR="00DD2567" w:rsidRDefault="00680E4C">
      <w:pPr>
        <w:spacing w:line="360" w:lineRule="auto"/>
        <w:ind w:firstLineChars="200" w:firstLine="480"/>
        <w:rPr>
          <w:rFonts w:ascii="宋体" w:hAnsi="宋体"/>
          <w:bCs/>
          <w:sz w:val="24"/>
        </w:rPr>
      </w:pPr>
      <w:r>
        <w:rPr>
          <w:rFonts w:ascii="宋体" w:hAnsi="宋体"/>
          <w:bCs/>
          <w:sz w:val="24"/>
        </w:rPr>
        <w:t>（8）返还在基金交易过程中因任何原因获得的不当得利；</w:t>
      </w:r>
    </w:p>
    <w:p w14:paraId="77A07056" w14:textId="77777777" w:rsidR="00DD2567" w:rsidRDefault="00680E4C">
      <w:pPr>
        <w:spacing w:line="360" w:lineRule="auto"/>
        <w:ind w:firstLineChars="200" w:firstLine="480"/>
        <w:rPr>
          <w:rFonts w:ascii="宋体" w:hAnsi="宋体"/>
          <w:bCs/>
          <w:sz w:val="24"/>
        </w:rPr>
      </w:pPr>
      <w:r>
        <w:rPr>
          <w:rFonts w:ascii="宋体" w:hAnsi="宋体"/>
          <w:bCs/>
          <w:sz w:val="24"/>
        </w:rPr>
        <w:t>（9）法律法规及中国证监会规定的和《基金合同》约定的其他义务。</w:t>
      </w:r>
    </w:p>
    <w:p w14:paraId="61029A09" w14:textId="77777777" w:rsidR="00DD2567" w:rsidRDefault="00680E4C">
      <w:pPr>
        <w:pStyle w:val="2"/>
        <w:spacing w:before="200" w:after="0" w:line="360" w:lineRule="auto"/>
        <w:ind w:firstLineChars="200" w:firstLine="482"/>
        <w:rPr>
          <w:rFonts w:eastAsia="宋体"/>
          <w:sz w:val="24"/>
          <w:szCs w:val="24"/>
        </w:rPr>
      </w:pPr>
      <w:r>
        <w:rPr>
          <w:rFonts w:eastAsia="宋体" w:hint="eastAsia"/>
          <w:sz w:val="24"/>
          <w:szCs w:val="24"/>
        </w:rPr>
        <w:t>第二部分基金份额持有人大会召集、议事及表决的程序和规则</w:t>
      </w:r>
    </w:p>
    <w:p w14:paraId="3BDC42C8"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基金份额持有人大会由基金份额持有人组成，基金份额持有人的合法授权代表有权代表基金份额持有人出席会议并表决。基金份额持有人持有的每一基金份额拥有平等的投票权。</w:t>
      </w:r>
    </w:p>
    <w:p w14:paraId="0BFAC1A2" w14:textId="77777777" w:rsidR="00DD2567" w:rsidRDefault="00680E4C">
      <w:pPr>
        <w:spacing w:line="360" w:lineRule="auto"/>
        <w:ind w:firstLineChars="200" w:firstLine="480"/>
        <w:rPr>
          <w:bCs/>
          <w:sz w:val="24"/>
        </w:rPr>
      </w:pPr>
      <w:r>
        <w:rPr>
          <w:rFonts w:hint="eastAsia"/>
          <w:bCs/>
          <w:sz w:val="24"/>
        </w:rPr>
        <w:t>本基金份额持有人大会不设日常机构。</w:t>
      </w:r>
    </w:p>
    <w:p w14:paraId="2DE32890" w14:textId="77777777" w:rsidR="00DD2567" w:rsidRDefault="00680E4C">
      <w:pPr>
        <w:spacing w:line="360" w:lineRule="auto"/>
        <w:ind w:firstLineChars="200" w:firstLine="480"/>
        <w:rPr>
          <w:rFonts w:ascii="宋体" w:hAnsi="宋体"/>
          <w:bCs/>
          <w:sz w:val="24"/>
        </w:rPr>
      </w:pPr>
      <w:r>
        <w:rPr>
          <w:rFonts w:ascii="宋体" w:hAnsi="宋体"/>
          <w:bCs/>
          <w:sz w:val="24"/>
        </w:rPr>
        <w:t>一、召开事由</w:t>
      </w:r>
    </w:p>
    <w:p w14:paraId="7E97E570" w14:textId="77777777" w:rsidR="00DD2567" w:rsidRDefault="00680E4C">
      <w:pPr>
        <w:spacing w:line="360" w:lineRule="auto"/>
        <w:ind w:firstLineChars="200" w:firstLine="480"/>
        <w:rPr>
          <w:rFonts w:ascii="宋体" w:hAnsi="宋体"/>
          <w:bCs/>
          <w:sz w:val="24"/>
        </w:rPr>
      </w:pPr>
      <w:r>
        <w:rPr>
          <w:rFonts w:ascii="宋体" w:hAnsi="宋体"/>
          <w:bCs/>
          <w:sz w:val="24"/>
        </w:rPr>
        <w:t>1、当出现或需要决定下列事由之一的，应当召开基金份额持有人大会：</w:t>
      </w:r>
    </w:p>
    <w:p w14:paraId="244A04AE" w14:textId="77777777" w:rsidR="00DD2567" w:rsidRDefault="00680E4C">
      <w:pPr>
        <w:spacing w:line="440" w:lineRule="atLeast"/>
        <w:ind w:firstLineChars="200" w:firstLine="480"/>
        <w:rPr>
          <w:rFonts w:ascii="宋体" w:hAnsi="宋体"/>
          <w:bCs/>
          <w:sz w:val="24"/>
        </w:rPr>
      </w:pPr>
      <w:r>
        <w:rPr>
          <w:rFonts w:ascii="宋体" w:hAnsi="宋体"/>
          <w:bCs/>
          <w:sz w:val="24"/>
        </w:rPr>
        <w:t>（1）终止《基金合同》；</w:t>
      </w:r>
    </w:p>
    <w:p w14:paraId="46A25EF4" w14:textId="77777777" w:rsidR="00DD2567" w:rsidRDefault="00680E4C">
      <w:pPr>
        <w:spacing w:line="440" w:lineRule="atLeast"/>
        <w:ind w:firstLineChars="200" w:firstLine="480"/>
        <w:rPr>
          <w:rFonts w:ascii="宋体" w:hAnsi="宋体"/>
          <w:bCs/>
          <w:sz w:val="24"/>
        </w:rPr>
      </w:pPr>
      <w:r>
        <w:rPr>
          <w:rFonts w:ascii="宋体" w:hAnsi="宋体"/>
          <w:bCs/>
          <w:sz w:val="24"/>
        </w:rPr>
        <w:t>（2）更换基金管理人；</w:t>
      </w:r>
    </w:p>
    <w:p w14:paraId="5E218504" w14:textId="77777777" w:rsidR="00DD2567" w:rsidRDefault="00680E4C">
      <w:pPr>
        <w:spacing w:line="440" w:lineRule="atLeast"/>
        <w:ind w:firstLineChars="200" w:firstLine="480"/>
        <w:rPr>
          <w:rFonts w:ascii="宋体" w:hAnsi="宋体"/>
          <w:bCs/>
          <w:sz w:val="24"/>
        </w:rPr>
      </w:pPr>
      <w:r>
        <w:rPr>
          <w:rFonts w:ascii="宋体" w:hAnsi="宋体"/>
          <w:bCs/>
          <w:sz w:val="24"/>
        </w:rPr>
        <w:t>（3）更换基金托管人；</w:t>
      </w:r>
    </w:p>
    <w:p w14:paraId="46F8C424" w14:textId="77777777" w:rsidR="00DD2567" w:rsidRDefault="00680E4C">
      <w:pPr>
        <w:spacing w:line="440" w:lineRule="atLeast"/>
        <w:ind w:firstLineChars="200" w:firstLine="480"/>
        <w:rPr>
          <w:rFonts w:ascii="宋体" w:hAnsi="宋体"/>
          <w:bCs/>
          <w:sz w:val="24"/>
        </w:rPr>
      </w:pPr>
      <w:r>
        <w:rPr>
          <w:rFonts w:ascii="宋体" w:hAnsi="宋体"/>
          <w:bCs/>
          <w:sz w:val="24"/>
        </w:rPr>
        <w:t>（4）转换基金运作方式；</w:t>
      </w:r>
    </w:p>
    <w:p w14:paraId="5089832D" w14:textId="77777777" w:rsidR="00DD2567" w:rsidRDefault="00680E4C">
      <w:pPr>
        <w:spacing w:line="440" w:lineRule="atLeast"/>
        <w:ind w:firstLineChars="200" w:firstLine="480"/>
        <w:rPr>
          <w:rFonts w:ascii="宋体" w:hAnsi="宋体"/>
          <w:bCs/>
          <w:sz w:val="24"/>
        </w:rPr>
      </w:pPr>
      <w:r>
        <w:rPr>
          <w:rFonts w:ascii="宋体" w:hAnsi="宋体"/>
          <w:bCs/>
          <w:sz w:val="24"/>
        </w:rPr>
        <w:t>（5）提高基金管理人、基金托管人的报酬标准；</w:t>
      </w:r>
    </w:p>
    <w:p w14:paraId="467A36FB" w14:textId="77777777" w:rsidR="00DD2567" w:rsidRDefault="00680E4C">
      <w:pPr>
        <w:spacing w:line="440" w:lineRule="atLeast"/>
        <w:ind w:firstLineChars="200" w:firstLine="480"/>
        <w:rPr>
          <w:rFonts w:ascii="宋体" w:hAnsi="宋体"/>
          <w:bCs/>
          <w:sz w:val="24"/>
        </w:rPr>
      </w:pPr>
      <w:r>
        <w:rPr>
          <w:rFonts w:ascii="宋体" w:hAnsi="宋体"/>
          <w:bCs/>
          <w:sz w:val="24"/>
        </w:rPr>
        <w:t>（6）变更基金类别；</w:t>
      </w:r>
    </w:p>
    <w:p w14:paraId="599C08A9" w14:textId="77777777" w:rsidR="00DD2567" w:rsidRDefault="00680E4C">
      <w:pPr>
        <w:spacing w:line="440" w:lineRule="atLeast"/>
        <w:ind w:firstLineChars="200" w:firstLine="480"/>
        <w:rPr>
          <w:rFonts w:ascii="宋体" w:hAnsi="宋体"/>
          <w:bCs/>
          <w:sz w:val="24"/>
        </w:rPr>
      </w:pPr>
      <w:r>
        <w:rPr>
          <w:rFonts w:ascii="宋体" w:hAnsi="宋体"/>
          <w:bCs/>
          <w:sz w:val="24"/>
        </w:rPr>
        <w:t>（7）本基金与其他基金的合并；</w:t>
      </w:r>
    </w:p>
    <w:p w14:paraId="52050E31" w14:textId="77777777" w:rsidR="00DD2567" w:rsidRDefault="00680E4C">
      <w:pPr>
        <w:spacing w:line="440" w:lineRule="atLeast"/>
        <w:ind w:firstLineChars="200" w:firstLine="480"/>
        <w:rPr>
          <w:rFonts w:ascii="宋体" w:hAnsi="宋体"/>
          <w:bCs/>
          <w:sz w:val="24"/>
        </w:rPr>
      </w:pPr>
      <w:r>
        <w:rPr>
          <w:rFonts w:ascii="宋体" w:hAnsi="宋体"/>
          <w:bCs/>
          <w:sz w:val="24"/>
        </w:rPr>
        <w:t>（8）变更基金投资目标、范围或策略；</w:t>
      </w:r>
    </w:p>
    <w:p w14:paraId="26FE3CA1" w14:textId="77777777" w:rsidR="00DD2567" w:rsidRDefault="00680E4C">
      <w:pPr>
        <w:spacing w:line="440" w:lineRule="atLeast"/>
        <w:ind w:firstLineChars="200" w:firstLine="480"/>
        <w:rPr>
          <w:rFonts w:ascii="宋体" w:hAnsi="宋体"/>
          <w:bCs/>
          <w:sz w:val="24"/>
        </w:rPr>
      </w:pPr>
      <w:r>
        <w:rPr>
          <w:rFonts w:ascii="宋体" w:hAnsi="宋体"/>
          <w:bCs/>
          <w:sz w:val="24"/>
        </w:rPr>
        <w:t>（9）变更基金份额持有人大会程序；</w:t>
      </w:r>
    </w:p>
    <w:p w14:paraId="0268A344" w14:textId="77777777" w:rsidR="00DD2567" w:rsidRDefault="00680E4C">
      <w:pPr>
        <w:spacing w:line="440" w:lineRule="atLeast"/>
        <w:ind w:firstLineChars="200" w:firstLine="480"/>
        <w:rPr>
          <w:rFonts w:ascii="宋体" w:hAnsi="宋体"/>
          <w:bCs/>
          <w:sz w:val="24"/>
        </w:rPr>
      </w:pPr>
      <w:r>
        <w:rPr>
          <w:rFonts w:ascii="宋体" w:hAnsi="宋体"/>
          <w:bCs/>
          <w:sz w:val="24"/>
        </w:rPr>
        <w:t>（10）基金管理人或基金托管人要求召开基金份额持有人大会；</w:t>
      </w:r>
    </w:p>
    <w:p w14:paraId="034C12B7" w14:textId="77777777" w:rsidR="00DD2567" w:rsidRDefault="00680E4C">
      <w:pPr>
        <w:spacing w:line="440" w:lineRule="atLeast"/>
        <w:ind w:firstLineChars="200" w:firstLine="480"/>
        <w:rPr>
          <w:rFonts w:ascii="宋体" w:hAnsi="宋体"/>
          <w:bCs/>
          <w:sz w:val="24"/>
        </w:rPr>
      </w:pPr>
      <w:r>
        <w:rPr>
          <w:rFonts w:ascii="宋体" w:hAnsi="宋体"/>
          <w:bCs/>
          <w:sz w:val="24"/>
        </w:rPr>
        <w:t>（11）单独或合计持有本基金总份额10%以上（含10%）基金份额的基金份额持有人（以基金管理人收到提议当日的基金份额计算，下同）就同一事项书面要求召开基金份额持有人大会；</w:t>
      </w:r>
    </w:p>
    <w:p w14:paraId="1876B400" w14:textId="77777777" w:rsidR="00DD2567" w:rsidRDefault="00680E4C">
      <w:pPr>
        <w:spacing w:line="440" w:lineRule="atLeast"/>
        <w:ind w:firstLineChars="200" w:firstLine="480"/>
        <w:rPr>
          <w:rFonts w:ascii="宋体" w:hAnsi="宋体"/>
          <w:bCs/>
          <w:sz w:val="24"/>
        </w:rPr>
      </w:pPr>
      <w:r>
        <w:rPr>
          <w:rFonts w:ascii="宋体" w:hAnsi="宋体"/>
          <w:bCs/>
          <w:sz w:val="24"/>
        </w:rPr>
        <w:t>（12）对基金当事人权利和义务产生重大影响的其他事项；</w:t>
      </w:r>
    </w:p>
    <w:p w14:paraId="1CE43359" w14:textId="77777777" w:rsidR="00DD2567" w:rsidRDefault="00680E4C">
      <w:pPr>
        <w:spacing w:line="440" w:lineRule="atLeast"/>
        <w:ind w:firstLineChars="200" w:firstLine="480"/>
        <w:rPr>
          <w:rFonts w:ascii="宋体" w:hAnsi="宋体"/>
          <w:bCs/>
          <w:sz w:val="24"/>
        </w:rPr>
      </w:pPr>
      <w:r>
        <w:rPr>
          <w:rFonts w:ascii="宋体" w:hAnsi="宋体"/>
          <w:bCs/>
          <w:sz w:val="24"/>
        </w:rPr>
        <w:t>（13）法律法规、《基金合同》或中国证监会规定的其他应当召开基金份额持有人大会的事项。</w:t>
      </w:r>
    </w:p>
    <w:p w14:paraId="799296E4" w14:textId="77777777" w:rsidR="00DD2567" w:rsidRDefault="00680E4C">
      <w:pPr>
        <w:spacing w:line="360" w:lineRule="auto"/>
        <w:ind w:firstLineChars="200" w:firstLine="480"/>
        <w:rPr>
          <w:rFonts w:ascii="宋体" w:hAnsi="宋体"/>
          <w:bCs/>
          <w:sz w:val="24"/>
        </w:rPr>
      </w:pPr>
      <w:r>
        <w:rPr>
          <w:rFonts w:ascii="宋体" w:hAnsi="宋体"/>
          <w:bCs/>
          <w:sz w:val="24"/>
        </w:rPr>
        <w:t>2、以下情况可由基金管理人和基金托管人协商后修改，不需召开基金份额持有人大会：</w:t>
      </w:r>
    </w:p>
    <w:p w14:paraId="07B3B459" w14:textId="77777777" w:rsidR="00DD2567" w:rsidRDefault="00680E4C">
      <w:pPr>
        <w:spacing w:line="360" w:lineRule="auto"/>
        <w:ind w:firstLineChars="200" w:firstLine="480"/>
        <w:rPr>
          <w:rFonts w:ascii="宋体" w:hAnsi="宋体"/>
          <w:bCs/>
          <w:sz w:val="24"/>
        </w:rPr>
      </w:pPr>
      <w:r>
        <w:rPr>
          <w:rFonts w:ascii="宋体" w:hAnsi="宋体"/>
          <w:bCs/>
          <w:sz w:val="24"/>
        </w:rPr>
        <w:t>（1）调低基金管理费、基金托管费；</w:t>
      </w:r>
    </w:p>
    <w:p w14:paraId="141A7634" w14:textId="77777777" w:rsidR="00DD2567" w:rsidRDefault="00680E4C">
      <w:pPr>
        <w:spacing w:line="360" w:lineRule="auto"/>
        <w:ind w:firstLineChars="200" w:firstLine="480"/>
        <w:rPr>
          <w:rFonts w:ascii="宋体" w:hAnsi="宋体"/>
          <w:bCs/>
          <w:sz w:val="24"/>
        </w:rPr>
      </w:pPr>
      <w:r>
        <w:rPr>
          <w:rFonts w:ascii="宋体" w:hAnsi="宋体"/>
          <w:bCs/>
          <w:sz w:val="24"/>
        </w:rPr>
        <w:t>（2）法律法规要求增加的基金费用的收取；</w:t>
      </w:r>
    </w:p>
    <w:p w14:paraId="56356163"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（3）在法律法规和《基金合同》规定的范围内</w:t>
      </w:r>
      <w:r>
        <w:rPr>
          <w:rFonts w:ascii="宋体" w:hAnsi="宋体" w:hint="eastAsia"/>
          <w:bCs/>
          <w:sz w:val="24"/>
        </w:rPr>
        <w:t>及在对现有基金份额持有人利益无实质性不利影响的前提下</w:t>
      </w:r>
      <w:r>
        <w:rPr>
          <w:rFonts w:ascii="宋体" w:hAnsi="宋体"/>
          <w:bCs/>
          <w:sz w:val="24"/>
        </w:rPr>
        <w:t>调</w:t>
      </w:r>
      <w:r>
        <w:rPr>
          <w:rFonts w:ascii="宋体" w:hAnsi="宋体" w:hint="eastAsia"/>
          <w:bCs/>
          <w:sz w:val="24"/>
        </w:rPr>
        <w:t>整</w:t>
      </w:r>
      <w:r>
        <w:rPr>
          <w:rFonts w:ascii="宋体" w:hAnsi="宋体"/>
          <w:bCs/>
          <w:sz w:val="24"/>
        </w:rPr>
        <w:t>本基金的申购费率、调低赎回费率</w:t>
      </w:r>
      <w:r>
        <w:rPr>
          <w:rFonts w:ascii="宋体" w:hAnsi="宋体" w:hint="eastAsia"/>
          <w:bCs/>
          <w:sz w:val="24"/>
        </w:rPr>
        <w:t>或变更收费方式</w:t>
      </w:r>
      <w:r>
        <w:rPr>
          <w:rFonts w:ascii="宋体" w:hAnsi="宋体"/>
          <w:bCs/>
          <w:sz w:val="24"/>
        </w:rPr>
        <w:t>；</w:t>
      </w:r>
    </w:p>
    <w:p w14:paraId="58E5EB27" w14:textId="77777777" w:rsidR="00DD2567" w:rsidRDefault="00680E4C">
      <w:pPr>
        <w:spacing w:line="360" w:lineRule="auto"/>
        <w:ind w:firstLineChars="200" w:firstLine="480"/>
        <w:rPr>
          <w:rFonts w:ascii="宋体" w:hAnsi="宋体"/>
          <w:bCs/>
          <w:sz w:val="24"/>
        </w:rPr>
      </w:pPr>
      <w:r>
        <w:rPr>
          <w:rFonts w:ascii="宋体" w:hAnsi="宋体"/>
          <w:bCs/>
          <w:sz w:val="24"/>
        </w:rPr>
        <w:t>（4）因相应的法律法规发生变动而应当对《基金合同》进行修改；</w:t>
      </w:r>
    </w:p>
    <w:p w14:paraId="077B2F5B" w14:textId="77777777" w:rsidR="00DD2567" w:rsidRDefault="00680E4C">
      <w:pPr>
        <w:spacing w:line="360" w:lineRule="auto"/>
        <w:ind w:firstLineChars="200" w:firstLine="480"/>
        <w:rPr>
          <w:rFonts w:ascii="宋体" w:hAnsi="宋体"/>
          <w:bCs/>
          <w:sz w:val="24"/>
        </w:rPr>
      </w:pPr>
      <w:r>
        <w:rPr>
          <w:rFonts w:ascii="宋体" w:hAnsi="宋体"/>
          <w:bCs/>
          <w:sz w:val="24"/>
        </w:rPr>
        <w:t>（5）对《基金合同》的修改对基金份额持有人利益无实质性不利影响或修改不涉及《基金合同》当事人权利义务关系发生</w:t>
      </w:r>
      <w:r>
        <w:rPr>
          <w:rFonts w:ascii="宋体" w:hAnsi="宋体" w:hint="eastAsia"/>
          <w:bCs/>
          <w:sz w:val="24"/>
        </w:rPr>
        <w:t>重大</w:t>
      </w:r>
      <w:r>
        <w:rPr>
          <w:rFonts w:ascii="宋体" w:hAnsi="宋体"/>
          <w:bCs/>
          <w:sz w:val="24"/>
        </w:rPr>
        <w:t>变化；</w:t>
      </w:r>
    </w:p>
    <w:p w14:paraId="1BD47706" w14:textId="77777777" w:rsidR="00DD2567" w:rsidRDefault="00680E4C">
      <w:pPr>
        <w:spacing w:line="360" w:lineRule="auto"/>
        <w:ind w:firstLineChars="200" w:firstLine="480"/>
        <w:rPr>
          <w:rFonts w:ascii="宋体" w:hAnsi="宋体"/>
          <w:bCs/>
          <w:sz w:val="24"/>
        </w:rPr>
      </w:pPr>
      <w:r>
        <w:rPr>
          <w:rFonts w:ascii="宋体" w:hAnsi="宋体"/>
          <w:bCs/>
          <w:sz w:val="24"/>
        </w:rPr>
        <w:t>（6）按照法律法规和《基金合同》规定不需召开基金份额持有人大会的其他情形。</w:t>
      </w:r>
    </w:p>
    <w:p w14:paraId="40E6E72A" w14:textId="77777777" w:rsidR="00DD2567" w:rsidRDefault="00680E4C">
      <w:pPr>
        <w:spacing w:line="360" w:lineRule="auto"/>
        <w:ind w:firstLineChars="200" w:firstLine="480"/>
        <w:rPr>
          <w:rFonts w:ascii="宋体" w:hAnsi="宋体"/>
          <w:bCs/>
          <w:sz w:val="24"/>
        </w:rPr>
      </w:pPr>
      <w:r>
        <w:rPr>
          <w:rFonts w:ascii="宋体" w:hAnsi="宋体"/>
          <w:bCs/>
          <w:sz w:val="24"/>
        </w:rPr>
        <w:t>二、会议召集人及召集方式</w:t>
      </w:r>
    </w:p>
    <w:p w14:paraId="753F02C2" w14:textId="77777777" w:rsidR="00DD2567" w:rsidRDefault="00680E4C">
      <w:pPr>
        <w:spacing w:line="360" w:lineRule="auto"/>
        <w:ind w:firstLineChars="200" w:firstLine="480"/>
        <w:rPr>
          <w:rFonts w:ascii="宋体" w:hAnsi="宋体"/>
          <w:bCs/>
          <w:sz w:val="24"/>
        </w:rPr>
      </w:pPr>
      <w:r>
        <w:rPr>
          <w:rFonts w:ascii="宋体" w:hAnsi="宋体"/>
          <w:bCs/>
          <w:sz w:val="24"/>
        </w:rPr>
        <w:t>1、除法律法规规定或《基金合同》另有约定外，基金份额持有人大会由基金管理人召集；</w:t>
      </w:r>
    </w:p>
    <w:p w14:paraId="0D59B7C7" w14:textId="77777777" w:rsidR="00DD2567" w:rsidRDefault="00680E4C">
      <w:pPr>
        <w:spacing w:line="360" w:lineRule="auto"/>
        <w:ind w:firstLineChars="200" w:firstLine="480"/>
        <w:rPr>
          <w:rFonts w:ascii="宋体" w:hAnsi="宋体"/>
          <w:bCs/>
          <w:sz w:val="24"/>
        </w:rPr>
      </w:pPr>
      <w:r>
        <w:rPr>
          <w:rFonts w:ascii="宋体" w:hAnsi="宋体"/>
          <w:bCs/>
          <w:sz w:val="24"/>
        </w:rPr>
        <w:t>2、基金管理人未按规定召集或不能召集时，由基金托管人召集；</w:t>
      </w:r>
    </w:p>
    <w:p w14:paraId="45EC04F7" w14:textId="77777777" w:rsidR="00DD2567" w:rsidRDefault="00680E4C">
      <w:pPr>
        <w:spacing w:line="360" w:lineRule="auto"/>
        <w:ind w:firstLineChars="200" w:firstLine="480"/>
        <w:rPr>
          <w:rFonts w:ascii="宋体" w:hAnsi="宋体"/>
          <w:bCs/>
          <w:sz w:val="24"/>
        </w:rPr>
      </w:pPr>
      <w:r>
        <w:rPr>
          <w:rFonts w:ascii="宋体" w:hAnsi="宋体"/>
          <w:bCs/>
          <w:sz w:val="24"/>
        </w:rPr>
        <w:t>3、基金托管人认为有必要召开基金份额持有人大会的，应当向基金管理人提出书面提议。基金管理人应当自收到书面提议之日起</w:t>
      </w:r>
      <w:r>
        <w:rPr>
          <w:rFonts w:ascii="宋体" w:hAnsi="宋体" w:hint="eastAsia"/>
          <w:bCs/>
          <w:sz w:val="24"/>
        </w:rPr>
        <w:t>10</w:t>
      </w:r>
      <w:r>
        <w:rPr>
          <w:rFonts w:ascii="宋体" w:hAnsi="宋体"/>
          <w:bCs/>
          <w:sz w:val="24"/>
        </w:rPr>
        <w:t>日内决定是否召集，并书面告知基金托管人。基金管理人决定召集的，应当自出具书面决定之日起</w:t>
      </w:r>
    </w:p>
    <w:p w14:paraId="0A875000" w14:textId="77777777" w:rsidR="00DD2567" w:rsidRDefault="00680E4C">
      <w:pPr>
        <w:spacing w:line="360" w:lineRule="auto"/>
        <w:rPr>
          <w:rFonts w:ascii="宋体" w:hAnsi="宋体"/>
          <w:bCs/>
          <w:sz w:val="24"/>
        </w:rPr>
      </w:pPr>
      <w:r>
        <w:rPr>
          <w:rFonts w:ascii="宋体" w:hAnsi="宋体" w:hint="eastAsia"/>
          <w:bCs/>
          <w:sz w:val="24"/>
        </w:rPr>
        <w:t>60</w:t>
      </w:r>
      <w:r>
        <w:rPr>
          <w:rFonts w:ascii="宋体" w:hAnsi="宋体"/>
          <w:bCs/>
          <w:sz w:val="24"/>
        </w:rPr>
        <w:t>日内召开；基金管理人决定不召集，基金托管人仍认为有必要召开的，应当由基金托管人自行召集</w:t>
      </w:r>
      <w:r>
        <w:rPr>
          <w:rFonts w:ascii="宋体" w:hAnsi="宋体" w:hint="eastAsia"/>
          <w:bCs/>
          <w:sz w:val="24"/>
        </w:rPr>
        <w:t>，并自出具书面决定之日起60日内召开并告知基金管理人，基金管理人应当配合；</w:t>
      </w:r>
    </w:p>
    <w:p w14:paraId="0414C26E" w14:textId="77777777" w:rsidR="00DD2567" w:rsidRDefault="00680E4C">
      <w:pPr>
        <w:spacing w:line="360" w:lineRule="auto"/>
        <w:ind w:firstLineChars="200" w:firstLine="480"/>
        <w:rPr>
          <w:rFonts w:ascii="宋体" w:hAnsi="宋体"/>
          <w:bCs/>
          <w:sz w:val="24"/>
        </w:rPr>
      </w:pPr>
      <w:r>
        <w:rPr>
          <w:rFonts w:ascii="宋体" w:hAnsi="宋体"/>
          <w:bCs/>
          <w:sz w:val="24"/>
        </w:rPr>
        <w:t>4、代表基金份额</w:t>
      </w:r>
      <w:r>
        <w:rPr>
          <w:rFonts w:ascii="宋体" w:hAnsi="宋体" w:hint="eastAsia"/>
          <w:bCs/>
          <w:sz w:val="24"/>
        </w:rPr>
        <w:t>10%</w:t>
      </w:r>
      <w:r>
        <w:rPr>
          <w:rFonts w:ascii="宋体" w:hAnsi="宋体"/>
          <w:bCs/>
          <w:sz w:val="24"/>
        </w:rPr>
        <w:t>以上（含</w:t>
      </w:r>
      <w:r>
        <w:rPr>
          <w:rFonts w:ascii="宋体" w:hAnsi="宋体" w:hint="eastAsia"/>
          <w:bCs/>
          <w:sz w:val="24"/>
        </w:rPr>
        <w:t>10%</w:t>
      </w:r>
      <w:r>
        <w:rPr>
          <w:rFonts w:ascii="宋体" w:hAnsi="宋体"/>
          <w:bCs/>
          <w:sz w:val="24"/>
        </w:rPr>
        <w:t>）的基金份额持有人就同一事项书面要求召开基金份额持有人大会，应当向基金管理人提出书面提议。基金管理人应当自收到书面提议之日起</w:t>
      </w:r>
      <w:r>
        <w:rPr>
          <w:rFonts w:ascii="宋体" w:hAnsi="宋体" w:hint="eastAsia"/>
          <w:bCs/>
          <w:sz w:val="24"/>
        </w:rPr>
        <w:t>10</w:t>
      </w:r>
      <w:r>
        <w:rPr>
          <w:rFonts w:ascii="宋体" w:hAnsi="宋体"/>
          <w:bCs/>
          <w:sz w:val="24"/>
        </w:rPr>
        <w:t>日内决定是否召集，并书面告知提出提议的基金份额持有人代表和基金托管人。基金管理人决定召集的，应当自出具书面决定之日起</w:t>
      </w:r>
    </w:p>
    <w:p w14:paraId="2B73B2CE" w14:textId="77777777" w:rsidR="00DD2567" w:rsidRDefault="00680E4C">
      <w:pPr>
        <w:spacing w:line="360" w:lineRule="auto"/>
        <w:rPr>
          <w:rFonts w:ascii="宋体" w:hAnsi="宋体"/>
          <w:bCs/>
          <w:sz w:val="24"/>
        </w:rPr>
      </w:pPr>
      <w:r>
        <w:rPr>
          <w:rFonts w:ascii="宋体" w:hAnsi="宋体" w:hint="eastAsia"/>
          <w:bCs/>
          <w:sz w:val="24"/>
        </w:rPr>
        <w:t>60</w:t>
      </w:r>
      <w:r>
        <w:rPr>
          <w:rFonts w:ascii="宋体" w:hAnsi="宋体"/>
          <w:bCs/>
          <w:sz w:val="24"/>
        </w:rPr>
        <w:t>日内召开；基金管理人决定不召集，代表基金份额</w:t>
      </w:r>
      <w:r>
        <w:rPr>
          <w:rFonts w:ascii="宋体" w:hAnsi="宋体" w:hint="eastAsia"/>
          <w:bCs/>
          <w:sz w:val="24"/>
        </w:rPr>
        <w:t>10%</w:t>
      </w:r>
      <w:r>
        <w:rPr>
          <w:rFonts w:ascii="宋体" w:hAnsi="宋体"/>
          <w:bCs/>
          <w:sz w:val="24"/>
        </w:rPr>
        <w:t>以上（含</w:t>
      </w:r>
      <w:r>
        <w:rPr>
          <w:rFonts w:ascii="宋体" w:hAnsi="宋体" w:hint="eastAsia"/>
          <w:bCs/>
          <w:sz w:val="24"/>
        </w:rPr>
        <w:t>10%</w:t>
      </w:r>
      <w:r>
        <w:rPr>
          <w:rFonts w:ascii="宋体" w:hAnsi="宋体"/>
          <w:bCs/>
          <w:sz w:val="24"/>
        </w:rPr>
        <w:t>）的基金份额持有人仍认为有必要召开的，应当向基金托管人提出书面提议。基金托管人应当自收到书面提议之日起</w:t>
      </w:r>
      <w:r>
        <w:rPr>
          <w:rFonts w:ascii="宋体" w:hAnsi="宋体" w:hint="eastAsia"/>
          <w:bCs/>
          <w:sz w:val="24"/>
        </w:rPr>
        <w:t>10</w:t>
      </w:r>
      <w:r>
        <w:rPr>
          <w:rFonts w:ascii="宋体" w:hAnsi="宋体"/>
          <w:bCs/>
          <w:sz w:val="24"/>
        </w:rPr>
        <w:t>日内决定是否召集，并书面告知提出提议的基金份额持有人代表和基金管理人；基金托管人决定召集的，应当自出具书面决定之日起60日内召开</w:t>
      </w:r>
      <w:r>
        <w:rPr>
          <w:rFonts w:ascii="宋体" w:hAnsi="宋体" w:hint="eastAsia"/>
          <w:bCs/>
          <w:sz w:val="24"/>
        </w:rPr>
        <w:t>并告知基金管理人，基金管理人应当配合；</w:t>
      </w:r>
    </w:p>
    <w:p w14:paraId="109F4F32" w14:textId="77777777" w:rsidR="00DD2567" w:rsidRDefault="00680E4C">
      <w:pPr>
        <w:spacing w:line="360" w:lineRule="auto"/>
        <w:ind w:firstLineChars="200" w:firstLine="480"/>
        <w:rPr>
          <w:rFonts w:ascii="宋体" w:hAnsi="宋体"/>
          <w:bCs/>
          <w:sz w:val="24"/>
        </w:rPr>
      </w:pPr>
      <w:r>
        <w:rPr>
          <w:rFonts w:ascii="宋体" w:hAnsi="宋体"/>
          <w:bCs/>
          <w:sz w:val="24"/>
        </w:rPr>
        <w:t>5、代表基金份额</w:t>
      </w:r>
      <w:r>
        <w:rPr>
          <w:rFonts w:ascii="宋体" w:hAnsi="宋体" w:hint="eastAsia"/>
          <w:bCs/>
          <w:sz w:val="24"/>
        </w:rPr>
        <w:t>10%</w:t>
      </w:r>
      <w:r>
        <w:rPr>
          <w:rFonts w:ascii="宋体" w:hAnsi="宋体"/>
          <w:bCs/>
          <w:sz w:val="24"/>
        </w:rPr>
        <w:t>以上（含</w:t>
      </w:r>
      <w:r>
        <w:rPr>
          <w:rFonts w:ascii="宋体" w:hAnsi="宋体" w:hint="eastAsia"/>
          <w:bCs/>
          <w:sz w:val="24"/>
        </w:rPr>
        <w:t>10%</w:t>
      </w:r>
      <w:r>
        <w:rPr>
          <w:rFonts w:ascii="宋体" w:hAnsi="宋体"/>
          <w:bCs/>
          <w:sz w:val="24"/>
        </w:rPr>
        <w:t>）的基金份额持有人就同一事项要求召开基金份额持有人大会，而基金管理人、基金托管人都不召集的，单独或合计代表</w:t>
      </w:r>
      <w:r>
        <w:rPr>
          <w:rFonts w:ascii="宋体" w:hAnsi="宋体"/>
          <w:bCs/>
          <w:sz w:val="24"/>
        </w:rPr>
        <w:lastRenderedPageBreak/>
        <w:t>基金份额</w:t>
      </w:r>
      <w:r>
        <w:rPr>
          <w:rFonts w:ascii="宋体" w:hAnsi="宋体" w:hint="eastAsia"/>
          <w:bCs/>
          <w:sz w:val="24"/>
        </w:rPr>
        <w:t>10%</w:t>
      </w:r>
      <w:r>
        <w:rPr>
          <w:rFonts w:ascii="宋体" w:hAnsi="宋体"/>
          <w:bCs/>
          <w:sz w:val="24"/>
        </w:rPr>
        <w:t>以上（含</w:t>
      </w:r>
      <w:r>
        <w:rPr>
          <w:rFonts w:ascii="宋体" w:hAnsi="宋体" w:hint="eastAsia"/>
          <w:bCs/>
          <w:sz w:val="24"/>
        </w:rPr>
        <w:t>10%</w:t>
      </w:r>
      <w:r>
        <w:rPr>
          <w:rFonts w:ascii="宋体" w:hAnsi="宋体"/>
          <w:bCs/>
          <w:sz w:val="24"/>
        </w:rPr>
        <w:t>）的基金份额持有人有权自行召集，并至少提前30日报中国证监会备案。基金份额持有人依法自行召集基金份额持有人大会的，基金管理人、基金托管人应当配合，不得阻碍、干扰</w:t>
      </w:r>
      <w:r>
        <w:rPr>
          <w:rFonts w:ascii="宋体" w:hAnsi="宋体" w:hint="eastAsia"/>
          <w:bCs/>
          <w:sz w:val="24"/>
        </w:rPr>
        <w:t>；</w:t>
      </w:r>
    </w:p>
    <w:p w14:paraId="4AADFA25" w14:textId="77777777" w:rsidR="00DD2567" w:rsidRDefault="00680E4C">
      <w:pPr>
        <w:spacing w:line="360" w:lineRule="auto"/>
        <w:ind w:firstLineChars="200" w:firstLine="480"/>
        <w:rPr>
          <w:rFonts w:ascii="宋体" w:hAnsi="宋体"/>
          <w:bCs/>
          <w:sz w:val="24"/>
        </w:rPr>
      </w:pPr>
      <w:r>
        <w:rPr>
          <w:rFonts w:ascii="宋体" w:hAnsi="宋体"/>
          <w:bCs/>
          <w:sz w:val="24"/>
        </w:rPr>
        <w:t>6、基金份额持有人会议的召集人负责选择确定开会时间、地点、方式和权益登记日。</w:t>
      </w:r>
    </w:p>
    <w:p w14:paraId="0F623423" w14:textId="77777777" w:rsidR="00DD2567" w:rsidRDefault="00680E4C">
      <w:pPr>
        <w:spacing w:line="360" w:lineRule="auto"/>
        <w:ind w:firstLineChars="200" w:firstLine="480"/>
        <w:rPr>
          <w:rFonts w:ascii="宋体" w:hAnsi="宋体"/>
          <w:bCs/>
          <w:sz w:val="24"/>
        </w:rPr>
      </w:pPr>
      <w:r>
        <w:rPr>
          <w:rFonts w:ascii="宋体" w:hAnsi="宋体"/>
          <w:bCs/>
          <w:sz w:val="24"/>
        </w:rPr>
        <w:t>三、召开基金份额持有人大会的通知时间、通知内容、通知方式</w:t>
      </w:r>
    </w:p>
    <w:p w14:paraId="4576DC43" w14:textId="77777777" w:rsidR="00DD2567" w:rsidRDefault="00680E4C">
      <w:pPr>
        <w:spacing w:line="360" w:lineRule="auto"/>
        <w:ind w:firstLineChars="200" w:firstLine="480"/>
        <w:rPr>
          <w:rFonts w:ascii="宋体" w:hAnsi="宋体"/>
          <w:bCs/>
          <w:sz w:val="24"/>
        </w:rPr>
      </w:pPr>
      <w:r>
        <w:rPr>
          <w:rFonts w:ascii="宋体" w:hAnsi="宋体"/>
          <w:bCs/>
          <w:sz w:val="24"/>
        </w:rPr>
        <w:t>1、召开基金份额持有人大会，召集人应于会议召开前</w:t>
      </w:r>
      <w:r>
        <w:rPr>
          <w:rFonts w:ascii="宋体" w:hAnsi="宋体" w:hint="eastAsia"/>
          <w:bCs/>
          <w:sz w:val="24"/>
        </w:rPr>
        <w:t>30</w:t>
      </w:r>
      <w:r>
        <w:rPr>
          <w:rFonts w:ascii="宋体" w:hAnsi="宋体"/>
          <w:bCs/>
          <w:sz w:val="24"/>
        </w:rPr>
        <w:t>日，在指定媒介公告。基金份额持有人大会通知应至少载明以下内容：</w:t>
      </w:r>
    </w:p>
    <w:p w14:paraId="7BECBCFE" w14:textId="77777777" w:rsidR="00DD2567" w:rsidRDefault="00680E4C">
      <w:pPr>
        <w:spacing w:line="360" w:lineRule="auto"/>
        <w:ind w:firstLineChars="200" w:firstLine="480"/>
        <w:rPr>
          <w:rFonts w:ascii="宋体" w:hAnsi="宋体"/>
          <w:bCs/>
          <w:sz w:val="24"/>
        </w:rPr>
      </w:pPr>
      <w:r>
        <w:rPr>
          <w:rFonts w:ascii="宋体" w:hAnsi="宋体"/>
          <w:bCs/>
          <w:sz w:val="24"/>
        </w:rPr>
        <w:t>（1）会议召开的时间、地点和会议形式；</w:t>
      </w:r>
    </w:p>
    <w:p w14:paraId="441B677E" w14:textId="77777777" w:rsidR="00DD2567" w:rsidRDefault="00680E4C">
      <w:pPr>
        <w:spacing w:line="360" w:lineRule="auto"/>
        <w:ind w:firstLineChars="200" w:firstLine="480"/>
        <w:rPr>
          <w:rFonts w:ascii="宋体" w:hAnsi="宋体"/>
          <w:bCs/>
          <w:sz w:val="24"/>
        </w:rPr>
      </w:pPr>
      <w:r>
        <w:rPr>
          <w:rFonts w:ascii="宋体" w:hAnsi="宋体"/>
          <w:bCs/>
          <w:sz w:val="24"/>
        </w:rPr>
        <w:t>（2）会议拟审议的事项、议事程序和表决方式；</w:t>
      </w:r>
    </w:p>
    <w:p w14:paraId="6A5E1321" w14:textId="77777777" w:rsidR="00DD2567" w:rsidRDefault="00680E4C">
      <w:pPr>
        <w:spacing w:line="360" w:lineRule="auto"/>
        <w:ind w:firstLineChars="200" w:firstLine="480"/>
        <w:rPr>
          <w:rFonts w:ascii="宋体" w:hAnsi="宋体"/>
          <w:bCs/>
          <w:sz w:val="24"/>
        </w:rPr>
      </w:pPr>
      <w:r>
        <w:rPr>
          <w:rFonts w:ascii="宋体" w:hAnsi="宋体"/>
          <w:bCs/>
          <w:sz w:val="24"/>
        </w:rPr>
        <w:t>（3）有权出席基金份额持有人大会的基金份额持有人的权益登记日；</w:t>
      </w:r>
    </w:p>
    <w:p w14:paraId="3610C855" w14:textId="77777777" w:rsidR="00DD2567" w:rsidRDefault="00680E4C">
      <w:pPr>
        <w:spacing w:line="360" w:lineRule="auto"/>
        <w:ind w:firstLineChars="200" w:firstLine="480"/>
        <w:rPr>
          <w:rFonts w:ascii="宋体" w:hAnsi="宋体"/>
          <w:bCs/>
          <w:sz w:val="24"/>
        </w:rPr>
      </w:pPr>
      <w:r>
        <w:rPr>
          <w:rFonts w:ascii="宋体" w:hAnsi="宋体"/>
          <w:bCs/>
          <w:sz w:val="24"/>
        </w:rPr>
        <w:t>（4）授权委托证明的内容要求（包括但不限于代理人身份，代理权限和代理有效期限等）、送达时间和地点</w:t>
      </w:r>
      <w:r>
        <w:rPr>
          <w:rFonts w:ascii="宋体" w:hAnsi="宋体" w:hint="eastAsia"/>
          <w:bCs/>
          <w:sz w:val="24"/>
        </w:rPr>
        <w:t>；</w:t>
      </w:r>
    </w:p>
    <w:p w14:paraId="3CE23B92" w14:textId="77777777" w:rsidR="00DD2567" w:rsidRDefault="00680E4C">
      <w:pPr>
        <w:spacing w:line="360" w:lineRule="auto"/>
        <w:ind w:firstLineChars="200" w:firstLine="480"/>
        <w:rPr>
          <w:rFonts w:ascii="宋体" w:hAnsi="宋体"/>
          <w:bCs/>
          <w:sz w:val="24"/>
        </w:rPr>
      </w:pPr>
      <w:r>
        <w:rPr>
          <w:rFonts w:ascii="宋体" w:hAnsi="宋体"/>
          <w:bCs/>
          <w:sz w:val="24"/>
        </w:rPr>
        <w:t>（5）会务常设联系人姓名及联系电话；</w:t>
      </w:r>
    </w:p>
    <w:p w14:paraId="4E142FF2" w14:textId="77777777" w:rsidR="00DD2567" w:rsidRDefault="00680E4C">
      <w:pPr>
        <w:spacing w:line="360" w:lineRule="auto"/>
        <w:ind w:firstLineChars="200" w:firstLine="480"/>
        <w:rPr>
          <w:rFonts w:ascii="宋体" w:hAnsi="宋体"/>
          <w:bCs/>
          <w:sz w:val="24"/>
        </w:rPr>
      </w:pPr>
      <w:r>
        <w:rPr>
          <w:rFonts w:ascii="宋体" w:hAnsi="宋体"/>
          <w:bCs/>
          <w:sz w:val="24"/>
        </w:rPr>
        <w:t>（6）出席会议者必须准备的文件和必须履行的手续；</w:t>
      </w:r>
    </w:p>
    <w:p w14:paraId="778043EF" w14:textId="77777777" w:rsidR="00DD2567" w:rsidRDefault="00680E4C">
      <w:pPr>
        <w:spacing w:line="360" w:lineRule="auto"/>
        <w:ind w:firstLineChars="200" w:firstLine="480"/>
        <w:rPr>
          <w:rFonts w:ascii="宋体" w:hAnsi="宋体"/>
          <w:bCs/>
          <w:sz w:val="24"/>
        </w:rPr>
      </w:pPr>
      <w:r>
        <w:rPr>
          <w:rFonts w:ascii="宋体" w:hAnsi="宋体"/>
          <w:bCs/>
          <w:sz w:val="24"/>
        </w:rPr>
        <w:t>（7）召集人需要通知的其他事项。</w:t>
      </w:r>
    </w:p>
    <w:p w14:paraId="0EBB0CAE" w14:textId="77777777" w:rsidR="00DD2567" w:rsidRDefault="00680E4C">
      <w:pPr>
        <w:spacing w:line="360" w:lineRule="auto"/>
        <w:ind w:firstLineChars="200" w:firstLine="480"/>
        <w:rPr>
          <w:rFonts w:ascii="宋体" w:hAnsi="宋体"/>
          <w:bCs/>
          <w:sz w:val="24"/>
        </w:rPr>
      </w:pPr>
      <w:r>
        <w:rPr>
          <w:rFonts w:ascii="宋体" w:hAnsi="宋体"/>
          <w:bCs/>
          <w:sz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8E23592" w14:textId="77777777" w:rsidR="00DD2567" w:rsidRDefault="00680E4C">
      <w:pPr>
        <w:spacing w:line="360" w:lineRule="auto"/>
        <w:ind w:firstLineChars="200" w:firstLine="480"/>
        <w:rPr>
          <w:rFonts w:ascii="宋体" w:hAnsi="宋体"/>
          <w:bCs/>
          <w:sz w:val="24"/>
        </w:rPr>
      </w:pPr>
      <w:r>
        <w:rPr>
          <w:rFonts w:ascii="宋体" w:hAnsi="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592DEB05" w14:textId="77777777" w:rsidR="00DD2567" w:rsidRDefault="00680E4C">
      <w:pPr>
        <w:spacing w:line="360" w:lineRule="auto"/>
        <w:ind w:firstLineChars="200" w:firstLine="480"/>
        <w:rPr>
          <w:rFonts w:ascii="宋体" w:hAnsi="宋体"/>
          <w:bCs/>
          <w:sz w:val="24"/>
        </w:rPr>
      </w:pPr>
      <w:r>
        <w:rPr>
          <w:rFonts w:ascii="宋体" w:hAnsi="宋体"/>
          <w:bCs/>
          <w:sz w:val="24"/>
        </w:rPr>
        <w:t>四、基金份额持有人出席会议的方式</w:t>
      </w:r>
    </w:p>
    <w:p w14:paraId="519DF582"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基金份额持有人大会可通过现场开会方式</w:t>
      </w:r>
      <w:r>
        <w:rPr>
          <w:rFonts w:ascii="宋体" w:hAnsi="宋体" w:hint="eastAsia"/>
          <w:bCs/>
          <w:sz w:val="24"/>
        </w:rPr>
        <w:t>、</w:t>
      </w:r>
      <w:r>
        <w:rPr>
          <w:rFonts w:ascii="宋体" w:hAnsi="宋体"/>
          <w:bCs/>
          <w:sz w:val="24"/>
        </w:rPr>
        <w:t>通讯开会</w:t>
      </w:r>
      <w:r>
        <w:rPr>
          <w:rFonts w:ascii="宋体" w:hAnsi="宋体" w:hint="eastAsia"/>
          <w:bCs/>
          <w:sz w:val="24"/>
        </w:rPr>
        <w:t>或法律法规、监管机关允许的其他方式等基金合同约定的</w:t>
      </w:r>
      <w:r>
        <w:rPr>
          <w:rFonts w:ascii="宋体" w:hAnsi="宋体"/>
          <w:bCs/>
          <w:sz w:val="24"/>
        </w:rPr>
        <w:t>方式召开，会议的召开方式由会议召集人确定。</w:t>
      </w:r>
      <w:r>
        <w:rPr>
          <w:rFonts w:ascii="宋体" w:hAnsi="宋体" w:hint="eastAsia"/>
          <w:bCs/>
          <w:sz w:val="24"/>
        </w:rPr>
        <w:t>基金管理人、基金托管人须为基金份额持有人行使投票权提供便利。</w:t>
      </w:r>
    </w:p>
    <w:p w14:paraId="33E05C23"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1、现场开会。由基金份额持有人本人出席或以代理投票授权委托证明委派代表出席，现场开会时基金管理人和基金托管人的授权代表应当列席基金份额持有人大会，基金管理人或</w:t>
      </w:r>
      <w:r>
        <w:rPr>
          <w:rFonts w:ascii="宋体" w:hAnsi="宋体" w:hint="eastAsia"/>
          <w:bCs/>
          <w:sz w:val="24"/>
        </w:rPr>
        <w:t>基金</w:t>
      </w:r>
      <w:r>
        <w:rPr>
          <w:rFonts w:ascii="宋体" w:hAnsi="宋体"/>
          <w:bCs/>
          <w:sz w:val="24"/>
        </w:rPr>
        <w:t>托管人不派代表列席的，不影响表决效力。现场开会同时符合以下条件时，可以进行基金份额持有人大会议程：</w:t>
      </w:r>
    </w:p>
    <w:p w14:paraId="413B715F" w14:textId="77777777" w:rsidR="00DD2567" w:rsidRDefault="00680E4C">
      <w:pPr>
        <w:spacing w:line="360" w:lineRule="auto"/>
        <w:ind w:firstLineChars="200" w:firstLine="480"/>
        <w:rPr>
          <w:rFonts w:ascii="宋体" w:hAnsi="宋体"/>
          <w:bCs/>
          <w:sz w:val="24"/>
        </w:rPr>
      </w:pPr>
      <w:r>
        <w:rPr>
          <w:rFonts w:ascii="宋体" w:hAnsi="宋体"/>
          <w:bCs/>
          <w:sz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0792E5E" w14:textId="77777777" w:rsidR="00DD2567" w:rsidRDefault="00680E4C">
      <w:pPr>
        <w:spacing w:line="360" w:lineRule="auto"/>
        <w:ind w:firstLineChars="200" w:firstLine="480"/>
        <w:rPr>
          <w:rFonts w:ascii="宋体" w:hAnsi="宋体"/>
          <w:bCs/>
          <w:sz w:val="24"/>
        </w:rPr>
      </w:pPr>
      <w:r>
        <w:rPr>
          <w:rFonts w:ascii="宋体" w:hAnsi="宋体"/>
          <w:bCs/>
          <w:sz w:val="24"/>
        </w:rPr>
        <w:t>（2）经核对，汇总到会者出示的在权益登记日持有基金份额的凭证显示，有效的基金份额不少于本基金在权益登记日基金总份额的</w:t>
      </w:r>
      <w:r>
        <w:rPr>
          <w:rFonts w:ascii="宋体" w:hAnsi="宋体" w:hint="eastAsia"/>
          <w:bCs/>
          <w:sz w:val="24"/>
        </w:rPr>
        <w:t>50%</w:t>
      </w:r>
      <w:r>
        <w:rPr>
          <w:rFonts w:ascii="宋体" w:hAnsi="宋体"/>
          <w:bCs/>
          <w:sz w:val="24"/>
        </w:rPr>
        <w:t>（含</w:t>
      </w:r>
      <w:r>
        <w:rPr>
          <w:rFonts w:ascii="宋体" w:hAnsi="宋体" w:hint="eastAsia"/>
          <w:bCs/>
          <w:sz w:val="24"/>
        </w:rPr>
        <w:t>50%</w:t>
      </w:r>
      <w:r>
        <w:rPr>
          <w:rFonts w:ascii="宋体" w:hAnsi="宋体"/>
          <w:bCs/>
          <w:sz w:val="24"/>
        </w:rPr>
        <w:t>）</w:t>
      </w:r>
      <w:r>
        <w:rPr>
          <w:rFonts w:ascii="宋体" w:hAnsi="宋体" w:hint="eastAsia"/>
          <w:bCs/>
          <w:sz w:val="24"/>
        </w:rPr>
        <w:t>；若到会者在权益登记日代表的有效的基金份额少于本基金在权益登记日基金总份额的二分之一，召集人可以在原公告的基金份额持有人大会召开时间的三个月以后、六个月以内，就原定审议事项重新召集基金份额持有人大会。重新召集的基金份额持有人大会到会者在权益登记日代表的有效的基金份额应不少于本基金在权益登记日基金总份额的三分之一（含三分之一）</w:t>
      </w:r>
      <w:r>
        <w:rPr>
          <w:rFonts w:ascii="宋体" w:hAnsi="宋体"/>
          <w:bCs/>
          <w:sz w:val="24"/>
        </w:rPr>
        <w:t>。</w:t>
      </w:r>
    </w:p>
    <w:p w14:paraId="63F4925B" w14:textId="77777777" w:rsidR="00DD2567" w:rsidRDefault="00680E4C">
      <w:pPr>
        <w:spacing w:line="360" w:lineRule="auto"/>
        <w:ind w:firstLineChars="200" w:firstLine="480"/>
        <w:rPr>
          <w:rFonts w:ascii="宋体" w:hAnsi="宋体"/>
          <w:bCs/>
          <w:sz w:val="24"/>
        </w:rPr>
      </w:pPr>
      <w:r>
        <w:rPr>
          <w:rFonts w:ascii="宋体" w:hAnsi="宋体"/>
          <w:bCs/>
          <w:sz w:val="24"/>
        </w:rPr>
        <w:t>2、通讯开会。通讯开会系指基金份额持有人将其对表决事项的投票以书面形式在表决截至日以前送达至召集人指定的地址。通讯开会应以书面方式进行表决。</w:t>
      </w:r>
    </w:p>
    <w:p w14:paraId="389F8E77" w14:textId="77777777" w:rsidR="00DD2567" w:rsidRDefault="00680E4C">
      <w:pPr>
        <w:spacing w:line="360" w:lineRule="auto"/>
        <w:ind w:firstLineChars="200" w:firstLine="480"/>
        <w:rPr>
          <w:rFonts w:ascii="宋体" w:hAnsi="宋体"/>
          <w:bCs/>
          <w:sz w:val="24"/>
        </w:rPr>
      </w:pPr>
      <w:r>
        <w:rPr>
          <w:rFonts w:ascii="宋体" w:hAnsi="宋体"/>
          <w:bCs/>
          <w:sz w:val="24"/>
        </w:rPr>
        <w:t>在同时符合以下条件时，通讯开会的方式视为有效：</w:t>
      </w:r>
    </w:p>
    <w:p w14:paraId="5C294A2A" w14:textId="77777777" w:rsidR="00DD2567" w:rsidRDefault="00680E4C">
      <w:pPr>
        <w:spacing w:line="360" w:lineRule="auto"/>
        <w:ind w:firstLineChars="200" w:firstLine="480"/>
        <w:rPr>
          <w:rFonts w:ascii="宋体" w:hAnsi="宋体"/>
          <w:bCs/>
          <w:sz w:val="24"/>
        </w:rPr>
      </w:pPr>
      <w:r>
        <w:rPr>
          <w:rFonts w:ascii="宋体" w:hAnsi="宋体"/>
          <w:bCs/>
          <w:sz w:val="24"/>
        </w:rPr>
        <w:t xml:space="preserve">（1）会议召集人按《基金合同》约定公布会议通知后，在 </w:t>
      </w:r>
      <w:r>
        <w:rPr>
          <w:rFonts w:ascii="宋体" w:hAnsi="宋体" w:hint="eastAsia"/>
          <w:bCs/>
          <w:sz w:val="24"/>
        </w:rPr>
        <w:t>2</w:t>
      </w:r>
      <w:r>
        <w:rPr>
          <w:rFonts w:ascii="宋体" w:hAnsi="宋体"/>
          <w:bCs/>
          <w:sz w:val="24"/>
        </w:rPr>
        <w:t>个工作日内连续公布相关提示性公告；</w:t>
      </w:r>
    </w:p>
    <w:p w14:paraId="370F0C6B" w14:textId="77777777" w:rsidR="00DD2567" w:rsidRDefault="00680E4C">
      <w:pPr>
        <w:spacing w:line="360" w:lineRule="auto"/>
        <w:ind w:firstLineChars="200" w:firstLine="480"/>
        <w:rPr>
          <w:rFonts w:ascii="宋体" w:hAnsi="宋体"/>
          <w:bCs/>
          <w:sz w:val="24"/>
        </w:rPr>
      </w:pPr>
      <w:r>
        <w:rPr>
          <w:rFonts w:ascii="宋体" w:hAnsi="宋体"/>
          <w:bCs/>
          <w:sz w:val="24"/>
        </w:rPr>
        <w:t>（2）召集人按基金合同</w:t>
      </w:r>
      <w:r>
        <w:rPr>
          <w:rFonts w:ascii="宋体" w:hAnsi="宋体" w:hint="eastAsia"/>
          <w:bCs/>
          <w:sz w:val="24"/>
        </w:rPr>
        <w:t>约</w:t>
      </w:r>
      <w:r>
        <w:rPr>
          <w:rFonts w:ascii="宋体" w:hAnsi="宋体"/>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575C3292" w14:textId="77777777" w:rsidR="00DD2567" w:rsidRDefault="00680E4C">
      <w:pPr>
        <w:spacing w:line="360" w:lineRule="auto"/>
        <w:ind w:firstLineChars="225" w:firstLine="540"/>
        <w:rPr>
          <w:rFonts w:ascii="宋体" w:hAnsi="宋体"/>
          <w:bCs/>
          <w:sz w:val="24"/>
        </w:rPr>
      </w:pPr>
      <w:r>
        <w:rPr>
          <w:rFonts w:ascii="宋体" w:hAnsi="宋体"/>
          <w:bCs/>
          <w:sz w:val="24"/>
        </w:rPr>
        <w:t>（3）本人直接出具书面意见或授权他人代表出具书面意见的，基金份额持有人所持有的基金份额不小于在权益登记日基金总份额的</w:t>
      </w:r>
      <w:r>
        <w:rPr>
          <w:rFonts w:ascii="宋体" w:hAnsi="宋体" w:hint="eastAsia"/>
          <w:bCs/>
          <w:sz w:val="24"/>
        </w:rPr>
        <w:t>50%</w:t>
      </w:r>
      <w:r>
        <w:rPr>
          <w:rFonts w:ascii="宋体" w:hAnsi="宋体"/>
          <w:bCs/>
          <w:sz w:val="24"/>
        </w:rPr>
        <w:t>（含</w:t>
      </w:r>
      <w:r>
        <w:rPr>
          <w:rFonts w:ascii="宋体" w:hAnsi="宋体" w:hint="eastAsia"/>
          <w:bCs/>
          <w:sz w:val="24"/>
        </w:rPr>
        <w:t>50%</w:t>
      </w:r>
      <w:r>
        <w:rPr>
          <w:rFonts w:ascii="宋体" w:hAnsi="宋体"/>
          <w:bCs/>
          <w:sz w:val="24"/>
        </w:rPr>
        <w:t>）；</w:t>
      </w:r>
      <w:r>
        <w:rPr>
          <w:rFonts w:ascii="宋体" w:hAnsi="宋体" w:hint="eastAsia"/>
          <w:bCs/>
          <w:sz w:val="24"/>
        </w:rPr>
        <w:t>若本人直接出具书面意见或授权他人代表出具书面意见基金份额持有人所持有的基金</w:t>
      </w:r>
      <w:r>
        <w:rPr>
          <w:rFonts w:ascii="宋体" w:hAnsi="宋体" w:hint="eastAsia"/>
          <w:bCs/>
          <w:sz w:val="24"/>
        </w:rPr>
        <w:lastRenderedPageBreak/>
        <w:t>份额小于在权益登记日基金总份额的二分之一，召集人可以在原公告的基金份额持有人大会召开时间的</w:t>
      </w:r>
      <w:r>
        <w:rPr>
          <w:rFonts w:ascii="宋体" w:hAnsi="宋体"/>
          <w:bCs/>
          <w:sz w:val="24"/>
        </w:rPr>
        <w:t>3</w:t>
      </w:r>
      <w:r>
        <w:rPr>
          <w:rFonts w:ascii="宋体" w:hAnsi="宋体" w:hint="eastAsia"/>
          <w:bCs/>
          <w:sz w:val="24"/>
        </w:rPr>
        <w:t>个月以后、</w:t>
      </w:r>
      <w:r>
        <w:rPr>
          <w:rFonts w:ascii="宋体" w:hAnsi="宋体"/>
          <w:bCs/>
          <w:sz w:val="24"/>
        </w:rPr>
        <w:t>6</w:t>
      </w:r>
      <w:r>
        <w:rPr>
          <w:rFonts w:ascii="宋体" w:hAnsi="宋体"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r>
        <w:rPr>
          <w:rFonts w:ascii="宋体" w:hAnsi="宋体"/>
          <w:bCs/>
          <w:sz w:val="24"/>
        </w:rPr>
        <w:t>；</w:t>
      </w:r>
    </w:p>
    <w:p w14:paraId="070CF2BE" w14:textId="77777777" w:rsidR="00DD2567" w:rsidRDefault="00680E4C">
      <w:pPr>
        <w:spacing w:line="360" w:lineRule="auto"/>
        <w:ind w:firstLineChars="200" w:firstLine="480"/>
        <w:rPr>
          <w:rFonts w:ascii="宋体" w:hAnsi="宋体"/>
          <w:bCs/>
          <w:sz w:val="24"/>
        </w:rPr>
      </w:pPr>
      <w:r>
        <w:rPr>
          <w:rFonts w:ascii="宋体" w:hAnsi="宋体"/>
          <w:bCs/>
          <w:sz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16C9257D" w14:textId="77777777" w:rsidR="00DD2567" w:rsidRDefault="00680E4C">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在法律法规或监管机构允许的情况下，经会议通知载明，基金份额持有人也可以采用网络、电话或其他方式进行表决，或者采用网络、电话或其他方式授权他人代为出席会议并表决，具体方式由会议召集人确定并在会议通知中列明。在会议召开方式上，本基金亦可采用其他非现场方式或者以现场方式与非现场方式相结合的方式召开基金份额持有人大会，会议程序比照现场开会和通讯方式开会的程序进行。</w:t>
      </w:r>
    </w:p>
    <w:p w14:paraId="3DAFE44F" w14:textId="77777777" w:rsidR="00DD2567" w:rsidRDefault="00680E4C">
      <w:pPr>
        <w:spacing w:line="360" w:lineRule="auto"/>
        <w:ind w:firstLineChars="200" w:firstLine="480"/>
        <w:rPr>
          <w:rFonts w:ascii="宋体" w:hAnsi="宋体"/>
          <w:bCs/>
          <w:sz w:val="24"/>
        </w:rPr>
      </w:pPr>
      <w:r>
        <w:rPr>
          <w:rFonts w:ascii="宋体" w:hAnsi="宋体"/>
          <w:bCs/>
          <w:sz w:val="24"/>
        </w:rPr>
        <w:t>五、议事内容与程序</w:t>
      </w:r>
    </w:p>
    <w:p w14:paraId="1FD67182" w14:textId="77777777" w:rsidR="00DD2567" w:rsidRDefault="00680E4C">
      <w:pPr>
        <w:spacing w:line="360" w:lineRule="auto"/>
        <w:ind w:firstLineChars="200" w:firstLine="480"/>
        <w:rPr>
          <w:rFonts w:ascii="宋体" w:hAnsi="宋体"/>
          <w:bCs/>
          <w:sz w:val="24"/>
        </w:rPr>
      </w:pPr>
      <w:r>
        <w:rPr>
          <w:rFonts w:ascii="宋体" w:hAnsi="宋体"/>
          <w:bCs/>
          <w:sz w:val="24"/>
        </w:rPr>
        <w:t>1、议事内容及提案权</w:t>
      </w:r>
    </w:p>
    <w:p w14:paraId="00CD54A8" w14:textId="77777777" w:rsidR="00DD2567" w:rsidRDefault="00680E4C">
      <w:pPr>
        <w:spacing w:line="360" w:lineRule="auto"/>
        <w:ind w:firstLineChars="200" w:firstLine="480"/>
        <w:rPr>
          <w:rFonts w:ascii="宋体" w:hAnsi="宋体"/>
          <w:bCs/>
          <w:sz w:val="24"/>
        </w:rPr>
      </w:pPr>
      <w:r>
        <w:rPr>
          <w:rFonts w:ascii="宋体" w:hAnsi="宋体"/>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0356EFF"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基金份额持有人大会的召集人发出召集会议的通知后，对原有提案的修改应当在基金份额持有人大会召开前及时公告。</w:t>
      </w:r>
    </w:p>
    <w:p w14:paraId="7CF00ECA"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基金份额持有人大会不得对未事先公告的议事内容进行表决。</w:t>
      </w:r>
    </w:p>
    <w:p w14:paraId="2074651A" w14:textId="77777777" w:rsidR="00DD2567" w:rsidRDefault="00680E4C">
      <w:pPr>
        <w:spacing w:line="360" w:lineRule="auto"/>
        <w:ind w:firstLineChars="200" w:firstLine="480"/>
        <w:rPr>
          <w:rFonts w:ascii="宋体" w:hAnsi="宋体"/>
          <w:bCs/>
          <w:sz w:val="24"/>
        </w:rPr>
      </w:pPr>
      <w:r>
        <w:rPr>
          <w:rFonts w:ascii="宋体" w:hAnsi="宋体"/>
          <w:bCs/>
          <w:sz w:val="24"/>
        </w:rPr>
        <w:t>2、议事程序</w:t>
      </w:r>
    </w:p>
    <w:p w14:paraId="2C576AE4" w14:textId="77777777" w:rsidR="00DD2567" w:rsidRDefault="00680E4C">
      <w:pPr>
        <w:spacing w:line="360" w:lineRule="auto"/>
        <w:ind w:firstLineChars="200" w:firstLine="480"/>
        <w:rPr>
          <w:rFonts w:ascii="宋体" w:hAnsi="宋体"/>
          <w:bCs/>
          <w:sz w:val="24"/>
        </w:rPr>
      </w:pPr>
      <w:r>
        <w:rPr>
          <w:rFonts w:ascii="宋体" w:hAnsi="宋体"/>
          <w:bCs/>
          <w:sz w:val="24"/>
        </w:rPr>
        <w:t>（1）现场开会</w:t>
      </w:r>
    </w:p>
    <w:p w14:paraId="30AC7B81" w14:textId="77777777" w:rsidR="00DD2567" w:rsidRDefault="00680E4C">
      <w:pPr>
        <w:spacing w:line="360" w:lineRule="auto"/>
        <w:ind w:firstLineChars="200" w:firstLine="480"/>
        <w:rPr>
          <w:rFonts w:ascii="宋体" w:hAnsi="宋体"/>
          <w:bCs/>
          <w:sz w:val="24"/>
        </w:rPr>
      </w:pPr>
      <w:r>
        <w:rPr>
          <w:rFonts w:ascii="宋体" w:hAnsi="宋体"/>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宋体" w:hAnsi="宋体"/>
          <w:bCs/>
          <w:sz w:val="24"/>
        </w:rPr>
        <w:lastRenderedPageBreak/>
        <w:t>代表和基金托管人授权代表均未能主持大会，则由出席大会的基金份额持有人和代理人所持表决权的</w:t>
      </w:r>
      <w:r>
        <w:rPr>
          <w:rFonts w:ascii="宋体" w:hAnsi="宋体" w:hint="eastAsia"/>
          <w:bCs/>
          <w:sz w:val="24"/>
        </w:rPr>
        <w:t>50%</w:t>
      </w:r>
      <w:r>
        <w:rPr>
          <w:rFonts w:ascii="宋体" w:hAnsi="宋体"/>
          <w:bCs/>
          <w:sz w:val="24"/>
        </w:rPr>
        <w:t>以上（含</w:t>
      </w:r>
      <w:r>
        <w:rPr>
          <w:rFonts w:ascii="宋体" w:hAnsi="宋体" w:hint="eastAsia"/>
          <w:bCs/>
          <w:sz w:val="24"/>
        </w:rPr>
        <w:t>50%</w:t>
      </w:r>
      <w:r>
        <w:rPr>
          <w:rFonts w:ascii="宋体" w:hAnsi="宋体"/>
          <w:bCs/>
          <w:sz w:val="24"/>
        </w:rPr>
        <w:t>）选举产生一名基金份额持有人作为该次基金份额持有人大会的主持人。基金管理人和基金托管人拒不出席或主持基金份额持有人大会，不影响基金份额持有人大会作出的决议的效力。</w:t>
      </w:r>
    </w:p>
    <w:p w14:paraId="640AD310" w14:textId="77777777" w:rsidR="00DD2567" w:rsidRDefault="00680E4C">
      <w:pPr>
        <w:spacing w:line="360" w:lineRule="auto"/>
        <w:ind w:firstLineChars="200" w:firstLine="480"/>
        <w:rPr>
          <w:rFonts w:ascii="宋体" w:hAnsi="宋体"/>
          <w:bCs/>
          <w:sz w:val="24"/>
        </w:rPr>
      </w:pPr>
      <w:r>
        <w:rPr>
          <w:rFonts w:ascii="宋体" w:hAnsi="宋体"/>
          <w:bCs/>
          <w:sz w:val="24"/>
        </w:rPr>
        <w:t>会议召集人应当制作出席会议人员的签名册。签名册载明参加会议人员姓名（或单位名称）、身份证明文件号码、持有或代表有表决权的基金份额、委托人姓名（或单位名称）和联系方式等事项。</w:t>
      </w:r>
    </w:p>
    <w:p w14:paraId="0E4FE66E" w14:textId="77777777" w:rsidR="00DD2567" w:rsidRDefault="00680E4C">
      <w:pPr>
        <w:spacing w:line="360" w:lineRule="auto"/>
        <w:ind w:firstLineChars="200" w:firstLine="480"/>
        <w:rPr>
          <w:rFonts w:ascii="宋体" w:hAnsi="宋体"/>
          <w:bCs/>
          <w:sz w:val="24"/>
        </w:rPr>
      </w:pPr>
      <w:r>
        <w:rPr>
          <w:rFonts w:ascii="宋体" w:hAnsi="宋体"/>
          <w:bCs/>
          <w:sz w:val="24"/>
        </w:rPr>
        <w:t>（2）通讯开会</w:t>
      </w:r>
    </w:p>
    <w:p w14:paraId="2A47C6BB" w14:textId="77777777" w:rsidR="00DD2567" w:rsidRDefault="00680E4C">
      <w:pPr>
        <w:spacing w:line="360" w:lineRule="auto"/>
        <w:ind w:firstLineChars="200" w:firstLine="480"/>
        <w:rPr>
          <w:rFonts w:ascii="宋体" w:hAnsi="宋体"/>
          <w:bCs/>
          <w:sz w:val="24"/>
        </w:rPr>
      </w:pPr>
      <w:r>
        <w:rPr>
          <w:rFonts w:ascii="宋体" w:hAnsi="宋体"/>
          <w:bCs/>
          <w:sz w:val="24"/>
        </w:rPr>
        <w:t>在通讯开会的情况下，首先由召集人提前</w:t>
      </w:r>
      <w:r>
        <w:rPr>
          <w:rFonts w:ascii="宋体" w:hAnsi="宋体" w:hint="eastAsia"/>
          <w:bCs/>
          <w:sz w:val="24"/>
        </w:rPr>
        <w:t>30</w:t>
      </w:r>
      <w:r>
        <w:rPr>
          <w:rFonts w:ascii="宋体" w:hAnsi="宋体"/>
          <w:bCs/>
          <w:sz w:val="24"/>
        </w:rPr>
        <w:t>日公布提案，在所通知的表决截止日期后</w:t>
      </w:r>
      <w:r>
        <w:rPr>
          <w:rFonts w:ascii="宋体" w:hAnsi="宋体" w:hint="eastAsia"/>
          <w:bCs/>
          <w:sz w:val="24"/>
        </w:rPr>
        <w:t>2</w:t>
      </w:r>
      <w:r>
        <w:rPr>
          <w:rFonts w:ascii="宋体" w:hAnsi="宋体"/>
          <w:bCs/>
          <w:sz w:val="24"/>
        </w:rPr>
        <w:t>个工作日内在公证机关监督下由召集人统计全部有效表决，在公证机关监督下形成决议。</w:t>
      </w:r>
    </w:p>
    <w:p w14:paraId="1E9FB353" w14:textId="77777777" w:rsidR="00DD2567" w:rsidRDefault="00680E4C">
      <w:pPr>
        <w:spacing w:line="360" w:lineRule="auto"/>
        <w:ind w:firstLineChars="200" w:firstLine="480"/>
        <w:rPr>
          <w:rFonts w:ascii="宋体" w:hAnsi="宋体"/>
          <w:bCs/>
          <w:sz w:val="24"/>
        </w:rPr>
      </w:pPr>
      <w:r>
        <w:rPr>
          <w:rFonts w:ascii="宋体" w:hAnsi="宋体"/>
          <w:bCs/>
          <w:sz w:val="24"/>
        </w:rPr>
        <w:t>六、表决</w:t>
      </w:r>
    </w:p>
    <w:p w14:paraId="6FAF4440"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基金份额持有人所持每份基金份额有一票表决权。</w:t>
      </w:r>
    </w:p>
    <w:p w14:paraId="31DA47EF"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基金份额持有人大会决议分为一般决议和特别决议：</w:t>
      </w:r>
    </w:p>
    <w:p w14:paraId="1E0658E5" w14:textId="77777777" w:rsidR="00DD2567" w:rsidRDefault="00680E4C">
      <w:pPr>
        <w:spacing w:line="360" w:lineRule="auto"/>
        <w:ind w:firstLineChars="200" w:firstLine="480"/>
        <w:rPr>
          <w:rFonts w:ascii="宋体" w:hAnsi="宋体"/>
          <w:bCs/>
          <w:sz w:val="24"/>
        </w:rPr>
      </w:pPr>
      <w:r>
        <w:rPr>
          <w:rFonts w:ascii="宋体" w:hAnsi="宋体"/>
          <w:bCs/>
          <w:sz w:val="24"/>
        </w:rPr>
        <w:t>1、一般决议，一般决议须经参加大会的基金份额持有人或其代理人所持表决权的</w:t>
      </w:r>
      <w:r>
        <w:rPr>
          <w:rFonts w:ascii="宋体" w:hAnsi="宋体" w:hint="eastAsia"/>
          <w:bCs/>
          <w:sz w:val="24"/>
        </w:rPr>
        <w:t>50%</w:t>
      </w:r>
      <w:r>
        <w:rPr>
          <w:rFonts w:ascii="宋体" w:hAnsi="宋体"/>
          <w:bCs/>
          <w:sz w:val="24"/>
        </w:rPr>
        <w:t>以上（含</w:t>
      </w:r>
      <w:r>
        <w:rPr>
          <w:rFonts w:ascii="宋体" w:hAnsi="宋体" w:hint="eastAsia"/>
          <w:bCs/>
          <w:sz w:val="24"/>
        </w:rPr>
        <w:t>50%</w:t>
      </w:r>
      <w:r>
        <w:rPr>
          <w:rFonts w:ascii="宋体" w:hAnsi="宋体"/>
          <w:bCs/>
          <w:sz w:val="24"/>
        </w:rPr>
        <w:t>）通过方为有效；除下列第2项所规定的须以特别决议通过事项以外的其他事项均以一般决议的方式通过。</w:t>
      </w:r>
    </w:p>
    <w:p w14:paraId="748CFE17" w14:textId="77777777" w:rsidR="00DD2567" w:rsidRDefault="00680E4C">
      <w:pPr>
        <w:spacing w:line="360" w:lineRule="auto"/>
        <w:ind w:firstLineChars="200" w:firstLine="480"/>
        <w:rPr>
          <w:rFonts w:ascii="宋体" w:hAnsi="宋体"/>
          <w:bCs/>
          <w:sz w:val="24"/>
        </w:rPr>
      </w:pPr>
      <w:r>
        <w:rPr>
          <w:rFonts w:ascii="宋体" w:hAnsi="宋体"/>
          <w:bCs/>
          <w:sz w:val="24"/>
        </w:rPr>
        <w:t>2、特别决议，特别决议应当经参加大会的基金份额持有人或其代理人所持表决权的</w:t>
      </w:r>
      <w:r>
        <w:rPr>
          <w:rFonts w:ascii="宋体" w:hAnsi="宋体" w:hint="eastAsia"/>
          <w:bCs/>
          <w:sz w:val="24"/>
        </w:rPr>
        <w:t>三分之二</w:t>
      </w:r>
      <w:r>
        <w:rPr>
          <w:rFonts w:ascii="宋体" w:hAnsi="宋体"/>
          <w:bCs/>
          <w:sz w:val="24"/>
        </w:rPr>
        <w:t>以上（含</w:t>
      </w:r>
      <w:r>
        <w:rPr>
          <w:rFonts w:ascii="宋体" w:hAnsi="宋体" w:hint="eastAsia"/>
          <w:bCs/>
          <w:sz w:val="24"/>
        </w:rPr>
        <w:t>三分之二</w:t>
      </w:r>
      <w:r>
        <w:rPr>
          <w:rFonts w:ascii="宋体" w:hAnsi="宋体"/>
          <w:bCs/>
          <w:sz w:val="24"/>
        </w:rPr>
        <w:t>）通过方可做出。转换基金运作方式、更换基金管理人或者基金托管人、终止《基金合同》</w:t>
      </w:r>
      <w:r>
        <w:rPr>
          <w:rFonts w:ascii="宋体" w:hAnsi="宋体" w:hint="eastAsia"/>
          <w:bCs/>
          <w:sz w:val="24"/>
        </w:rPr>
        <w:t>、本基金与其他基金合并</w:t>
      </w:r>
      <w:r>
        <w:rPr>
          <w:rFonts w:ascii="宋体" w:hAnsi="宋体"/>
          <w:bCs/>
          <w:sz w:val="24"/>
        </w:rPr>
        <w:t>以特别决议通过方为有效。</w:t>
      </w:r>
    </w:p>
    <w:p w14:paraId="5FFC9B56"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基金份额持有人大会采取记名方式进行投票表决。</w:t>
      </w:r>
    </w:p>
    <w:p w14:paraId="78E00A21" w14:textId="77777777" w:rsidR="00DD2567" w:rsidRDefault="00680E4C">
      <w:pPr>
        <w:spacing w:line="360" w:lineRule="auto"/>
        <w:ind w:firstLineChars="200" w:firstLine="480"/>
        <w:rPr>
          <w:rFonts w:ascii="宋体" w:hAnsi="宋体"/>
          <w:bCs/>
          <w:sz w:val="24"/>
        </w:rPr>
      </w:pPr>
      <w:r>
        <w:rPr>
          <w:rFonts w:ascii="宋体" w:hAnsi="宋体"/>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5F196AA"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基金份额持有人大会的各项提案或同一项提案内并列的各项议题应当分开审议、逐项表决。</w:t>
      </w:r>
    </w:p>
    <w:p w14:paraId="602DC934"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七、计票</w:t>
      </w:r>
    </w:p>
    <w:p w14:paraId="578CBABD" w14:textId="77777777" w:rsidR="00DD2567" w:rsidRDefault="00680E4C">
      <w:pPr>
        <w:spacing w:line="360" w:lineRule="auto"/>
        <w:ind w:firstLineChars="200" w:firstLine="480"/>
        <w:rPr>
          <w:rFonts w:ascii="宋体" w:hAnsi="宋体"/>
          <w:bCs/>
          <w:sz w:val="24"/>
        </w:rPr>
      </w:pPr>
      <w:r>
        <w:rPr>
          <w:rFonts w:ascii="宋体" w:hAnsi="宋体"/>
          <w:bCs/>
          <w:sz w:val="24"/>
        </w:rPr>
        <w:t>1、现场开会</w:t>
      </w:r>
    </w:p>
    <w:p w14:paraId="4CE4BF3F" w14:textId="77777777" w:rsidR="00DD2567" w:rsidRDefault="00680E4C">
      <w:pPr>
        <w:spacing w:line="360" w:lineRule="auto"/>
        <w:ind w:firstLineChars="200" w:firstLine="480"/>
        <w:rPr>
          <w:rFonts w:ascii="宋体" w:hAnsi="宋体"/>
          <w:bCs/>
          <w:sz w:val="24"/>
        </w:rPr>
      </w:pPr>
      <w:r>
        <w:rPr>
          <w:rFonts w:ascii="宋体" w:hAnsi="宋体"/>
          <w:bCs/>
          <w:sz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E89C4E0" w14:textId="77777777" w:rsidR="00DD2567" w:rsidRDefault="00680E4C">
      <w:pPr>
        <w:spacing w:line="360" w:lineRule="auto"/>
        <w:ind w:firstLineChars="200" w:firstLine="480"/>
        <w:rPr>
          <w:rFonts w:ascii="宋体" w:hAnsi="宋体"/>
          <w:bCs/>
          <w:sz w:val="24"/>
        </w:rPr>
      </w:pPr>
      <w:r>
        <w:rPr>
          <w:rFonts w:ascii="宋体" w:hAnsi="宋体"/>
          <w:bCs/>
          <w:sz w:val="24"/>
        </w:rPr>
        <w:t>（2）监票人应当在基金份额持有人表决后立即进行清点并由大会主持人当场公布计票结果。</w:t>
      </w:r>
    </w:p>
    <w:p w14:paraId="0652C249" w14:textId="77777777" w:rsidR="00DD2567" w:rsidRDefault="00680E4C">
      <w:pPr>
        <w:spacing w:line="360" w:lineRule="auto"/>
        <w:ind w:firstLineChars="200" w:firstLine="480"/>
        <w:rPr>
          <w:rFonts w:ascii="宋体" w:hAnsi="宋体"/>
          <w:bCs/>
          <w:sz w:val="24"/>
        </w:rPr>
      </w:pPr>
      <w:r>
        <w:rPr>
          <w:rFonts w:ascii="宋体" w:hAnsi="宋体"/>
          <w:bCs/>
          <w:sz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FF41634" w14:textId="77777777" w:rsidR="00DD2567" w:rsidRDefault="00680E4C">
      <w:pPr>
        <w:spacing w:line="360" w:lineRule="auto"/>
        <w:ind w:firstLineChars="200" w:firstLine="480"/>
        <w:rPr>
          <w:rFonts w:ascii="宋体" w:hAnsi="宋体"/>
          <w:bCs/>
          <w:sz w:val="24"/>
        </w:rPr>
      </w:pPr>
      <w:r>
        <w:rPr>
          <w:rFonts w:ascii="宋体" w:hAnsi="宋体"/>
          <w:bCs/>
          <w:sz w:val="24"/>
        </w:rPr>
        <w:t>（4）计票过程应由公证机关予以公证，基金管理人或基金托管人拒不出席大会的，不影响计票的效力。</w:t>
      </w:r>
    </w:p>
    <w:p w14:paraId="42049EC2" w14:textId="77777777" w:rsidR="00DD2567" w:rsidRDefault="00680E4C">
      <w:pPr>
        <w:spacing w:line="360" w:lineRule="auto"/>
        <w:ind w:firstLineChars="200" w:firstLine="480"/>
        <w:rPr>
          <w:rFonts w:ascii="宋体" w:hAnsi="宋体"/>
          <w:bCs/>
          <w:sz w:val="24"/>
        </w:rPr>
      </w:pPr>
      <w:r>
        <w:rPr>
          <w:rFonts w:ascii="宋体" w:hAnsi="宋体"/>
          <w:bCs/>
          <w:sz w:val="24"/>
        </w:rPr>
        <w:t>2、通讯开会</w:t>
      </w:r>
    </w:p>
    <w:p w14:paraId="464B5876" w14:textId="77777777" w:rsidR="00DD2567" w:rsidRDefault="00680E4C">
      <w:pPr>
        <w:spacing w:line="360" w:lineRule="auto"/>
        <w:ind w:firstLineChars="200" w:firstLine="480"/>
        <w:rPr>
          <w:rFonts w:ascii="宋体" w:hAnsi="宋体"/>
          <w:bCs/>
          <w:sz w:val="24"/>
        </w:rPr>
      </w:pPr>
      <w:r>
        <w:rPr>
          <w:rFonts w:ascii="宋体" w:hAnsi="宋体"/>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538D747E" w14:textId="77777777" w:rsidR="00DD2567" w:rsidRDefault="00680E4C">
      <w:pPr>
        <w:spacing w:line="360" w:lineRule="auto"/>
        <w:ind w:firstLineChars="200" w:firstLine="480"/>
        <w:rPr>
          <w:rFonts w:ascii="宋体" w:hAnsi="宋体"/>
          <w:bCs/>
          <w:sz w:val="24"/>
        </w:rPr>
      </w:pPr>
      <w:r>
        <w:rPr>
          <w:rFonts w:ascii="宋体" w:hAnsi="宋体"/>
          <w:bCs/>
          <w:sz w:val="24"/>
        </w:rPr>
        <w:t>八、生效与公告</w:t>
      </w:r>
    </w:p>
    <w:p w14:paraId="74BAE681"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基金份额持有人大会的决议，召集人应当自通过之日起</w:t>
      </w:r>
      <w:r>
        <w:rPr>
          <w:rFonts w:ascii="宋体" w:hAnsi="宋体" w:hint="eastAsia"/>
          <w:bCs/>
          <w:sz w:val="24"/>
        </w:rPr>
        <w:t>5</w:t>
      </w:r>
      <w:r>
        <w:rPr>
          <w:rFonts w:ascii="宋体" w:hAnsi="宋体"/>
          <w:bCs/>
          <w:sz w:val="24"/>
        </w:rPr>
        <w:t>日内报中国证监会备案。</w:t>
      </w:r>
    </w:p>
    <w:p w14:paraId="4129CFCF"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基金份额持有人大会的决议自</w:t>
      </w:r>
      <w:r>
        <w:rPr>
          <w:rFonts w:ascii="宋体" w:hAnsi="宋体" w:hint="eastAsia"/>
          <w:bCs/>
          <w:sz w:val="24"/>
        </w:rPr>
        <w:t>表决通过</w:t>
      </w:r>
      <w:r>
        <w:rPr>
          <w:rFonts w:ascii="宋体" w:hAnsi="宋体"/>
          <w:bCs/>
          <w:sz w:val="24"/>
        </w:rPr>
        <w:t>之日起生效。</w:t>
      </w:r>
    </w:p>
    <w:p w14:paraId="7C16163B" w14:textId="77777777" w:rsidR="00DD2567" w:rsidRDefault="00680E4C">
      <w:pPr>
        <w:spacing w:line="360" w:lineRule="auto"/>
        <w:ind w:firstLineChars="200" w:firstLine="480"/>
        <w:rPr>
          <w:rFonts w:ascii="宋体" w:hAnsi="宋体"/>
          <w:bCs/>
          <w:sz w:val="24"/>
        </w:rPr>
      </w:pPr>
      <w:r>
        <w:rPr>
          <w:rFonts w:ascii="宋体" w:hAnsi="宋体"/>
          <w:bCs/>
          <w:sz w:val="24"/>
        </w:rPr>
        <w:t>基金份额持有人大会决议自生效之日起</w:t>
      </w:r>
      <w:r>
        <w:rPr>
          <w:rFonts w:ascii="宋体" w:hAnsi="宋体" w:hint="eastAsia"/>
          <w:bCs/>
          <w:sz w:val="24"/>
        </w:rPr>
        <w:t>2</w:t>
      </w:r>
      <w:r>
        <w:rPr>
          <w:rFonts w:ascii="宋体" w:hAnsi="宋体"/>
          <w:bCs/>
          <w:sz w:val="24"/>
        </w:rPr>
        <w:t>个工作日内在</w:t>
      </w:r>
      <w:r>
        <w:rPr>
          <w:rFonts w:ascii="宋体" w:hAnsi="宋体" w:hint="eastAsia"/>
          <w:bCs/>
          <w:sz w:val="24"/>
        </w:rPr>
        <w:t>指定媒介</w:t>
      </w:r>
      <w:r>
        <w:rPr>
          <w:rFonts w:ascii="宋体" w:hAnsi="宋体"/>
          <w:bCs/>
          <w:sz w:val="24"/>
        </w:rPr>
        <w:t>上公告。如果采用通讯方式进行表决，在公告基金份额持有人大会决议时，必须将公证书全文、公证机构、公证员姓名等一同公告。</w:t>
      </w:r>
    </w:p>
    <w:p w14:paraId="765FD40F"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555742C0" w14:textId="77777777" w:rsidR="00DD2567" w:rsidRDefault="00680E4C">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经与基金托管人协商一致，基金管理人提前公告后，可直接对本部分内容进行修改和调整，无需召开基金份额持有人大会审议。</w:t>
      </w:r>
    </w:p>
    <w:p w14:paraId="0FA8B0F8"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第三部分基金合同解除和终止的事由、程序以及基金财产清算方式</w:t>
      </w:r>
    </w:p>
    <w:p w14:paraId="5599DF2D" w14:textId="77777777" w:rsidR="00DD2567" w:rsidRDefault="00680E4C">
      <w:pPr>
        <w:spacing w:line="360" w:lineRule="auto"/>
        <w:ind w:firstLineChars="200" w:firstLine="480"/>
        <w:rPr>
          <w:rFonts w:ascii="宋体" w:hAnsi="宋体"/>
          <w:bCs/>
          <w:sz w:val="24"/>
        </w:rPr>
      </w:pPr>
      <w:r>
        <w:rPr>
          <w:rFonts w:ascii="宋体" w:hAnsi="宋体"/>
          <w:bCs/>
          <w:sz w:val="24"/>
        </w:rPr>
        <w:t>一、《基金合同》的变更</w:t>
      </w:r>
    </w:p>
    <w:p w14:paraId="0B13AD53" w14:textId="77777777" w:rsidR="00DD2567" w:rsidRDefault="00680E4C">
      <w:pPr>
        <w:autoSpaceDE w:val="0"/>
        <w:autoSpaceDN w:val="0"/>
        <w:adjustRightInd w:val="0"/>
        <w:spacing w:line="360" w:lineRule="auto"/>
        <w:ind w:firstLineChars="200" w:firstLine="480"/>
        <w:jc w:val="left"/>
        <w:rPr>
          <w:rFonts w:ascii="宋体" w:hAnsi="宋体"/>
          <w:bCs/>
          <w:sz w:val="24"/>
        </w:rPr>
      </w:pPr>
      <w:r>
        <w:rPr>
          <w:rFonts w:ascii="宋体" w:hAnsi="宋体"/>
          <w:bCs/>
          <w:sz w:val="24"/>
        </w:rPr>
        <w:t>1、变更基金合同</w:t>
      </w:r>
      <w:r>
        <w:rPr>
          <w:rFonts w:ascii="宋体" w:hAnsi="宋体" w:hint="eastAsia"/>
          <w:bCs/>
          <w:sz w:val="24"/>
        </w:rPr>
        <w:t>涉及</w:t>
      </w:r>
      <w:r>
        <w:rPr>
          <w:rFonts w:ascii="宋体" w:hAnsi="宋体"/>
          <w:bCs/>
          <w:sz w:val="24"/>
        </w:rPr>
        <w:t>法律法规规定或</w:t>
      </w:r>
      <w:r>
        <w:rPr>
          <w:rFonts w:ascii="宋体" w:hAnsi="宋体" w:hint="eastAsia"/>
          <w:bCs/>
          <w:sz w:val="24"/>
        </w:rPr>
        <w:t>基金</w:t>
      </w:r>
      <w:r>
        <w:rPr>
          <w:rFonts w:ascii="宋体" w:hAnsi="宋体"/>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CECF2D1" w14:textId="77777777" w:rsidR="00DD2567" w:rsidRDefault="00680E4C">
      <w:pPr>
        <w:spacing w:line="360" w:lineRule="auto"/>
        <w:ind w:firstLineChars="200" w:firstLine="480"/>
        <w:rPr>
          <w:rFonts w:ascii="宋体" w:hAnsi="宋体"/>
          <w:bCs/>
          <w:sz w:val="24"/>
        </w:rPr>
      </w:pPr>
      <w:r>
        <w:rPr>
          <w:rFonts w:ascii="宋体" w:hAnsi="宋体"/>
          <w:bCs/>
          <w:sz w:val="24"/>
        </w:rPr>
        <w:t>2、关于《基金合同》变更的基金份额持有人大会决议</w:t>
      </w:r>
      <w:r>
        <w:rPr>
          <w:rFonts w:ascii="宋体" w:hAnsi="宋体" w:hint="eastAsia"/>
          <w:bCs/>
          <w:sz w:val="24"/>
        </w:rPr>
        <w:t>自生效后方可执行，并自决议生效后两日内</w:t>
      </w:r>
      <w:r>
        <w:rPr>
          <w:rFonts w:ascii="宋体" w:hAnsi="宋体"/>
          <w:bCs/>
          <w:sz w:val="24"/>
        </w:rPr>
        <w:t>在</w:t>
      </w:r>
      <w:r>
        <w:rPr>
          <w:rFonts w:ascii="宋体" w:hAnsi="宋体" w:hint="eastAsia"/>
          <w:bCs/>
          <w:sz w:val="24"/>
        </w:rPr>
        <w:t>指定媒介</w:t>
      </w:r>
      <w:r>
        <w:rPr>
          <w:rFonts w:ascii="宋体" w:hAnsi="宋体"/>
          <w:bCs/>
          <w:sz w:val="24"/>
        </w:rPr>
        <w:t>公告。</w:t>
      </w:r>
    </w:p>
    <w:p w14:paraId="792BEF19" w14:textId="77777777" w:rsidR="00DD2567" w:rsidRDefault="00680E4C">
      <w:pPr>
        <w:autoSpaceDE w:val="0"/>
        <w:autoSpaceDN w:val="0"/>
        <w:adjustRightInd w:val="0"/>
        <w:spacing w:line="360" w:lineRule="auto"/>
        <w:ind w:firstLineChars="200" w:firstLine="480"/>
        <w:jc w:val="left"/>
        <w:rPr>
          <w:rFonts w:ascii="宋体"/>
          <w:bCs/>
          <w:sz w:val="24"/>
        </w:rPr>
      </w:pPr>
      <w:r>
        <w:rPr>
          <w:rFonts w:ascii="宋体" w:hint="eastAsia"/>
          <w:sz w:val="24"/>
        </w:rPr>
        <w:t>二、</w:t>
      </w:r>
      <w:r>
        <w:rPr>
          <w:rFonts w:ascii="宋体" w:hint="eastAsia"/>
          <w:bCs/>
          <w:sz w:val="24"/>
        </w:rPr>
        <w:t>基金转换运作方式或者与其他基金合并</w:t>
      </w:r>
    </w:p>
    <w:p w14:paraId="2580949C" w14:textId="77777777" w:rsidR="00DD2567" w:rsidRDefault="00680E4C">
      <w:pPr>
        <w:autoSpaceDE w:val="0"/>
        <w:autoSpaceDN w:val="0"/>
        <w:adjustRightInd w:val="0"/>
        <w:spacing w:line="360" w:lineRule="auto"/>
        <w:ind w:firstLineChars="200" w:firstLine="480"/>
        <w:jc w:val="left"/>
        <w:rPr>
          <w:rFonts w:ascii="宋体"/>
          <w:bCs/>
          <w:sz w:val="24"/>
        </w:rPr>
      </w:pPr>
      <w:r>
        <w:rPr>
          <w:rFonts w:ascii="宋体" w:hint="eastAsia"/>
          <w:bCs/>
          <w:sz w:val="24"/>
        </w:rPr>
        <w:t>基金转换运作方式或者与其他基金合并，应当按照法律法规及基金合同规定的程序进行。实施方案若未在基金合同中明确约定，应当经基金份额持有人大会审议通过。基金管理人应当提前发布提示性通知，明确有关实施安排，说明对现有基金份额持有人的影响以及基金份额持有人享有的选择权，并在实施前预留至少二十个开放日或者交易日供基金持有人做出选择。</w:t>
      </w:r>
    </w:p>
    <w:p w14:paraId="50D1E855" w14:textId="77777777" w:rsidR="00DD2567" w:rsidRDefault="00680E4C">
      <w:pPr>
        <w:spacing w:line="360" w:lineRule="auto"/>
        <w:ind w:firstLineChars="200" w:firstLine="480"/>
        <w:rPr>
          <w:rFonts w:ascii="宋体" w:hAnsi="宋体"/>
          <w:bCs/>
          <w:sz w:val="24"/>
        </w:rPr>
      </w:pPr>
      <w:r>
        <w:rPr>
          <w:rFonts w:ascii="宋体" w:hAnsi="宋体" w:hint="eastAsia"/>
          <w:bCs/>
          <w:sz w:val="24"/>
        </w:rPr>
        <w:t>三</w:t>
      </w:r>
      <w:r>
        <w:rPr>
          <w:rFonts w:ascii="宋体" w:hAnsi="宋体"/>
          <w:bCs/>
          <w:sz w:val="24"/>
        </w:rPr>
        <w:t>、《基金合同》的终止事由</w:t>
      </w:r>
    </w:p>
    <w:p w14:paraId="1FCADF8B" w14:textId="77777777" w:rsidR="00DD2567" w:rsidRDefault="00680E4C">
      <w:pPr>
        <w:spacing w:line="360" w:lineRule="auto"/>
        <w:ind w:firstLineChars="200" w:firstLine="480"/>
        <w:rPr>
          <w:rFonts w:ascii="宋体" w:hAnsi="宋体"/>
          <w:bCs/>
          <w:sz w:val="24"/>
        </w:rPr>
      </w:pPr>
      <w:r>
        <w:rPr>
          <w:rFonts w:ascii="宋体" w:hAnsi="宋体"/>
          <w:bCs/>
          <w:sz w:val="24"/>
        </w:rPr>
        <w:t>有下列情形之一的，《基金合同》应当终止：</w:t>
      </w:r>
    </w:p>
    <w:p w14:paraId="44EEA918" w14:textId="77777777" w:rsidR="00DD2567" w:rsidRDefault="00680E4C">
      <w:pPr>
        <w:spacing w:line="360" w:lineRule="auto"/>
        <w:ind w:firstLineChars="200" w:firstLine="480"/>
        <w:rPr>
          <w:rFonts w:ascii="宋体" w:hAnsi="宋体"/>
          <w:bCs/>
          <w:sz w:val="24"/>
        </w:rPr>
      </w:pPr>
      <w:r>
        <w:rPr>
          <w:rFonts w:ascii="宋体" w:hAnsi="宋体"/>
          <w:bCs/>
          <w:sz w:val="24"/>
        </w:rPr>
        <w:t>1、基金份额持有人大会决定终止的；</w:t>
      </w:r>
    </w:p>
    <w:p w14:paraId="12D9D025" w14:textId="77777777" w:rsidR="00DD2567" w:rsidRDefault="00680E4C">
      <w:pPr>
        <w:spacing w:line="360" w:lineRule="auto"/>
        <w:ind w:firstLineChars="200" w:firstLine="480"/>
        <w:rPr>
          <w:rFonts w:ascii="宋体" w:hAnsi="宋体"/>
          <w:bCs/>
          <w:sz w:val="24"/>
        </w:rPr>
      </w:pPr>
      <w:r>
        <w:rPr>
          <w:rFonts w:ascii="宋体" w:hAnsi="宋体"/>
          <w:bCs/>
          <w:sz w:val="24"/>
        </w:rPr>
        <w:t>2、基金管理人、基金托管人职责终止，在6个月内没有新基金管理人、新基金托管人承接的；</w:t>
      </w:r>
    </w:p>
    <w:p w14:paraId="4912C76D" w14:textId="77777777" w:rsidR="00DD2567" w:rsidRDefault="00680E4C">
      <w:pPr>
        <w:spacing w:line="360" w:lineRule="auto"/>
        <w:ind w:firstLineChars="200" w:firstLine="480"/>
        <w:rPr>
          <w:rFonts w:ascii="宋体" w:hAnsi="宋体"/>
          <w:bCs/>
          <w:sz w:val="24"/>
        </w:rPr>
      </w:pPr>
      <w:r>
        <w:rPr>
          <w:rFonts w:ascii="宋体" w:hAnsi="宋体"/>
          <w:bCs/>
          <w:sz w:val="24"/>
        </w:rPr>
        <w:t>3、《基金合同》约定的其他情形；</w:t>
      </w:r>
    </w:p>
    <w:p w14:paraId="70796BF9" w14:textId="77777777" w:rsidR="00DD2567" w:rsidRDefault="00680E4C">
      <w:pPr>
        <w:spacing w:line="360" w:lineRule="auto"/>
        <w:ind w:firstLineChars="200" w:firstLine="480"/>
        <w:rPr>
          <w:rFonts w:ascii="宋体" w:hAnsi="宋体"/>
          <w:bCs/>
          <w:sz w:val="24"/>
        </w:rPr>
      </w:pPr>
      <w:r>
        <w:rPr>
          <w:rFonts w:ascii="宋体" w:hAnsi="宋体"/>
          <w:bCs/>
          <w:sz w:val="24"/>
        </w:rPr>
        <w:t>4、相关法律法规和中国证监会规定的其他情况。</w:t>
      </w:r>
    </w:p>
    <w:p w14:paraId="7D302551" w14:textId="77777777" w:rsidR="00DD2567" w:rsidRDefault="00680E4C">
      <w:pPr>
        <w:spacing w:line="360" w:lineRule="auto"/>
        <w:ind w:firstLineChars="200" w:firstLine="480"/>
        <w:rPr>
          <w:rFonts w:ascii="宋体" w:hAnsi="宋体"/>
          <w:bCs/>
          <w:sz w:val="24"/>
        </w:rPr>
      </w:pPr>
      <w:r>
        <w:rPr>
          <w:rFonts w:ascii="宋体" w:hAnsi="宋体" w:hint="eastAsia"/>
          <w:bCs/>
          <w:sz w:val="24"/>
        </w:rPr>
        <w:t>四</w:t>
      </w:r>
      <w:r>
        <w:rPr>
          <w:rFonts w:ascii="宋体" w:hAnsi="宋体"/>
          <w:bCs/>
          <w:sz w:val="24"/>
        </w:rPr>
        <w:t>、基金财产的清算</w:t>
      </w:r>
    </w:p>
    <w:p w14:paraId="3B1489FD" w14:textId="77777777" w:rsidR="00DD2567" w:rsidRDefault="00680E4C">
      <w:pPr>
        <w:spacing w:line="360" w:lineRule="auto"/>
        <w:ind w:firstLineChars="200" w:firstLine="480"/>
        <w:rPr>
          <w:rFonts w:ascii="宋体" w:hAnsi="宋体"/>
          <w:bCs/>
          <w:sz w:val="24"/>
        </w:rPr>
      </w:pPr>
      <w:r>
        <w:rPr>
          <w:rFonts w:ascii="宋体" w:hAnsi="宋体"/>
          <w:bCs/>
          <w:sz w:val="24"/>
        </w:rPr>
        <w:lastRenderedPageBreak/>
        <w:t>1、基金财产清算小组：自出现《基金合同》终止事由之日起30个工作日内成立清算小组，基金管理人组织基金财产清算小组并在中国证监会的监督下进行基金清算。</w:t>
      </w:r>
    </w:p>
    <w:p w14:paraId="1DFE889A" w14:textId="77777777" w:rsidR="00DD2567" w:rsidRDefault="00680E4C">
      <w:pPr>
        <w:spacing w:line="360" w:lineRule="auto"/>
        <w:ind w:firstLineChars="200" w:firstLine="480"/>
        <w:rPr>
          <w:rFonts w:ascii="宋体" w:hAnsi="宋体"/>
          <w:bCs/>
          <w:sz w:val="24"/>
        </w:rPr>
      </w:pPr>
      <w:r>
        <w:rPr>
          <w:rFonts w:ascii="宋体" w:hAnsi="宋体"/>
          <w:bCs/>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48CB3FAE" w14:textId="77777777" w:rsidR="00DD2567" w:rsidRDefault="00680E4C">
      <w:pPr>
        <w:spacing w:line="360" w:lineRule="auto"/>
        <w:ind w:firstLineChars="200" w:firstLine="480"/>
        <w:rPr>
          <w:rFonts w:ascii="宋体" w:hAnsi="宋体"/>
          <w:bCs/>
          <w:sz w:val="24"/>
        </w:rPr>
      </w:pPr>
      <w:r>
        <w:rPr>
          <w:rFonts w:ascii="宋体" w:hAnsi="宋体"/>
          <w:bCs/>
          <w:sz w:val="24"/>
        </w:rPr>
        <w:t>3、基金财产清算小组职责：基金财产清算小组负责基金财产的保管、清理、估价、变现和分配。基金财产清算小组可以依法进行必要的民事活动。</w:t>
      </w:r>
    </w:p>
    <w:p w14:paraId="3856D7D8" w14:textId="77777777" w:rsidR="00DD2567" w:rsidRDefault="00680E4C">
      <w:pPr>
        <w:spacing w:line="360" w:lineRule="auto"/>
        <w:ind w:firstLineChars="200" w:firstLine="480"/>
        <w:rPr>
          <w:rFonts w:ascii="宋体" w:hAnsi="宋体"/>
          <w:bCs/>
          <w:sz w:val="24"/>
        </w:rPr>
      </w:pPr>
      <w:r>
        <w:rPr>
          <w:rFonts w:ascii="宋体" w:hAnsi="宋体"/>
          <w:bCs/>
          <w:sz w:val="24"/>
        </w:rPr>
        <w:t>4、基金财产清算程序：</w:t>
      </w:r>
    </w:p>
    <w:p w14:paraId="76A346F1" w14:textId="77777777" w:rsidR="00DD2567" w:rsidRDefault="00680E4C">
      <w:pPr>
        <w:spacing w:line="360" w:lineRule="auto"/>
        <w:ind w:firstLineChars="200" w:firstLine="480"/>
        <w:rPr>
          <w:rFonts w:ascii="宋体" w:hAnsi="宋体"/>
          <w:bCs/>
          <w:sz w:val="24"/>
        </w:rPr>
      </w:pPr>
      <w:r>
        <w:rPr>
          <w:rFonts w:ascii="宋体" w:hAnsi="宋体"/>
          <w:bCs/>
          <w:sz w:val="24"/>
        </w:rPr>
        <w:t>（1）《基金合同》终止情形出现时，由基金财产清算小组统一接管基金；</w:t>
      </w:r>
    </w:p>
    <w:p w14:paraId="70E584B5" w14:textId="77777777" w:rsidR="00DD2567" w:rsidRDefault="00680E4C">
      <w:pPr>
        <w:spacing w:line="360" w:lineRule="auto"/>
        <w:ind w:firstLineChars="200" w:firstLine="480"/>
        <w:rPr>
          <w:rFonts w:ascii="宋体" w:hAnsi="宋体"/>
          <w:bCs/>
          <w:sz w:val="24"/>
        </w:rPr>
      </w:pPr>
      <w:r>
        <w:rPr>
          <w:rFonts w:ascii="宋体" w:hAnsi="宋体"/>
          <w:bCs/>
          <w:sz w:val="24"/>
        </w:rPr>
        <w:t>（2）对基金财产和债权债务进行清理和确认；</w:t>
      </w:r>
    </w:p>
    <w:p w14:paraId="30210905" w14:textId="77777777" w:rsidR="00DD2567" w:rsidRDefault="00680E4C">
      <w:pPr>
        <w:spacing w:line="360" w:lineRule="auto"/>
        <w:ind w:firstLineChars="200" w:firstLine="480"/>
        <w:rPr>
          <w:rFonts w:ascii="宋体" w:hAnsi="宋体"/>
          <w:bCs/>
          <w:sz w:val="24"/>
        </w:rPr>
      </w:pPr>
      <w:r>
        <w:rPr>
          <w:rFonts w:ascii="宋体" w:hAnsi="宋体"/>
          <w:bCs/>
          <w:sz w:val="24"/>
        </w:rPr>
        <w:t>（3）对基金财产进行估值和变现；</w:t>
      </w:r>
    </w:p>
    <w:p w14:paraId="7E63C2A1" w14:textId="77777777" w:rsidR="00DD2567" w:rsidRDefault="00680E4C">
      <w:pPr>
        <w:spacing w:line="360" w:lineRule="auto"/>
        <w:ind w:firstLineChars="200" w:firstLine="480"/>
        <w:rPr>
          <w:rFonts w:ascii="宋体" w:hAnsi="宋体"/>
          <w:bCs/>
          <w:sz w:val="24"/>
        </w:rPr>
      </w:pPr>
      <w:r>
        <w:rPr>
          <w:rFonts w:ascii="宋体" w:hAnsi="宋体"/>
          <w:bCs/>
          <w:sz w:val="24"/>
        </w:rPr>
        <w:t>（4）制作清算报告；</w:t>
      </w:r>
    </w:p>
    <w:p w14:paraId="542E9512" w14:textId="77777777" w:rsidR="00DD2567" w:rsidRDefault="00680E4C">
      <w:pPr>
        <w:spacing w:line="360" w:lineRule="auto"/>
        <w:ind w:firstLineChars="200" w:firstLine="480"/>
        <w:rPr>
          <w:rFonts w:ascii="宋体" w:hAnsi="宋体"/>
          <w:bCs/>
          <w:sz w:val="24"/>
        </w:rPr>
      </w:pPr>
      <w:r>
        <w:rPr>
          <w:rFonts w:ascii="宋体" w:hAnsi="宋体"/>
          <w:bCs/>
          <w:sz w:val="24"/>
        </w:rPr>
        <w:t>（5）聘请会计师事务所对清算报告进行外部审计，聘请律师事务所对清算报告出具法律意见书；</w:t>
      </w:r>
    </w:p>
    <w:p w14:paraId="1A19B3AD" w14:textId="77777777" w:rsidR="00DD2567" w:rsidRDefault="00680E4C">
      <w:pPr>
        <w:spacing w:line="360" w:lineRule="auto"/>
        <w:ind w:firstLineChars="200" w:firstLine="480"/>
        <w:rPr>
          <w:rFonts w:ascii="宋体" w:hAnsi="宋体"/>
          <w:bCs/>
          <w:sz w:val="24"/>
        </w:rPr>
      </w:pPr>
      <w:r>
        <w:rPr>
          <w:rFonts w:ascii="宋体" w:hAnsi="宋体"/>
          <w:bCs/>
          <w:sz w:val="24"/>
        </w:rPr>
        <w:t>（6）将清算报告报中国证监会备案并公告</w:t>
      </w:r>
      <w:r>
        <w:rPr>
          <w:rFonts w:ascii="宋体" w:hAnsi="宋体" w:hint="eastAsia"/>
          <w:bCs/>
          <w:sz w:val="24"/>
        </w:rPr>
        <w:t>；</w:t>
      </w:r>
    </w:p>
    <w:p w14:paraId="670EA90B" w14:textId="77777777" w:rsidR="00DD2567" w:rsidRDefault="00680E4C">
      <w:pPr>
        <w:spacing w:line="360" w:lineRule="auto"/>
        <w:ind w:firstLineChars="200" w:firstLine="480"/>
        <w:rPr>
          <w:rFonts w:ascii="宋体" w:hAnsi="宋体"/>
          <w:bCs/>
          <w:sz w:val="24"/>
        </w:rPr>
      </w:pPr>
      <w:r>
        <w:rPr>
          <w:rFonts w:ascii="宋体" w:hAnsi="宋体"/>
          <w:bCs/>
          <w:sz w:val="24"/>
        </w:rPr>
        <w:t>（7）对基金</w:t>
      </w:r>
      <w:r>
        <w:rPr>
          <w:rFonts w:ascii="宋体" w:hAnsi="宋体" w:hint="eastAsia"/>
          <w:bCs/>
          <w:sz w:val="24"/>
        </w:rPr>
        <w:t>剩余</w:t>
      </w:r>
      <w:r>
        <w:rPr>
          <w:rFonts w:ascii="宋体" w:hAnsi="宋体"/>
          <w:bCs/>
          <w:sz w:val="24"/>
        </w:rPr>
        <w:t>财产进行分配</w:t>
      </w:r>
      <w:r>
        <w:rPr>
          <w:rFonts w:ascii="宋体" w:hAnsi="宋体" w:hint="eastAsia"/>
          <w:bCs/>
          <w:sz w:val="24"/>
        </w:rPr>
        <w:t>。</w:t>
      </w:r>
    </w:p>
    <w:p w14:paraId="387809DA" w14:textId="77777777" w:rsidR="00DD2567" w:rsidRDefault="00680E4C">
      <w:pPr>
        <w:spacing w:line="360" w:lineRule="auto"/>
        <w:ind w:firstLineChars="200" w:firstLine="480"/>
        <w:rPr>
          <w:rFonts w:ascii="宋体" w:hAnsi="宋体"/>
          <w:bCs/>
          <w:sz w:val="24"/>
        </w:rPr>
      </w:pPr>
      <w:r>
        <w:rPr>
          <w:rFonts w:ascii="宋体" w:hAnsi="宋体"/>
          <w:bCs/>
          <w:sz w:val="24"/>
        </w:rPr>
        <w:t>5、基金财产清算的期限为</w:t>
      </w:r>
      <w:r>
        <w:rPr>
          <w:rFonts w:ascii="宋体" w:hAnsi="宋体" w:hint="eastAsia"/>
          <w:bCs/>
          <w:sz w:val="24"/>
        </w:rPr>
        <w:t>6</w:t>
      </w:r>
      <w:r>
        <w:rPr>
          <w:rFonts w:ascii="宋体" w:hAnsi="宋体"/>
          <w:bCs/>
          <w:sz w:val="24"/>
        </w:rPr>
        <w:t>个月。</w:t>
      </w:r>
    </w:p>
    <w:p w14:paraId="701EB786" w14:textId="77777777" w:rsidR="00DD2567" w:rsidRDefault="00680E4C">
      <w:pPr>
        <w:spacing w:line="360" w:lineRule="auto"/>
        <w:ind w:firstLineChars="200" w:firstLine="480"/>
        <w:rPr>
          <w:rFonts w:ascii="宋体" w:hAnsi="宋体"/>
          <w:bCs/>
          <w:sz w:val="24"/>
        </w:rPr>
      </w:pPr>
      <w:r>
        <w:rPr>
          <w:rFonts w:ascii="宋体" w:hAnsi="宋体" w:hint="eastAsia"/>
          <w:bCs/>
          <w:sz w:val="24"/>
        </w:rPr>
        <w:t>五</w:t>
      </w:r>
      <w:r>
        <w:rPr>
          <w:rFonts w:ascii="宋体" w:hAnsi="宋体"/>
          <w:bCs/>
          <w:sz w:val="24"/>
        </w:rPr>
        <w:t>、清算费用</w:t>
      </w:r>
    </w:p>
    <w:p w14:paraId="65738CE2" w14:textId="77777777" w:rsidR="00DD2567" w:rsidRDefault="00680E4C">
      <w:pPr>
        <w:spacing w:line="360" w:lineRule="auto"/>
        <w:ind w:firstLineChars="200" w:firstLine="480"/>
        <w:rPr>
          <w:rFonts w:ascii="宋体" w:hAnsi="宋体"/>
          <w:bCs/>
          <w:sz w:val="24"/>
        </w:rPr>
      </w:pPr>
      <w:r>
        <w:rPr>
          <w:rFonts w:ascii="宋体" w:hAnsi="宋体"/>
          <w:bCs/>
          <w:sz w:val="24"/>
        </w:rPr>
        <w:t>清算费用是指基金财产清算小组在进行基金清算过程中发生的所有合理费用，清算费用由基金财产清算小组优先从基金财产中支付。</w:t>
      </w:r>
    </w:p>
    <w:p w14:paraId="1CF0A806" w14:textId="77777777" w:rsidR="00DD2567" w:rsidRDefault="00680E4C">
      <w:pPr>
        <w:spacing w:line="360" w:lineRule="auto"/>
        <w:ind w:firstLineChars="200" w:firstLine="480"/>
        <w:rPr>
          <w:rFonts w:ascii="宋体" w:hAnsi="宋体"/>
          <w:bCs/>
          <w:sz w:val="24"/>
        </w:rPr>
      </w:pPr>
      <w:r>
        <w:rPr>
          <w:rFonts w:ascii="宋体" w:hAnsi="宋体" w:hint="eastAsia"/>
          <w:bCs/>
          <w:sz w:val="24"/>
        </w:rPr>
        <w:t>六</w:t>
      </w:r>
      <w:r>
        <w:rPr>
          <w:rFonts w:ascii="宋体" w:hAnsi="宋体"/>
          <w:bCs/>
          <w:sz w:val="24"/>
        </w:rPr>
        <w:t>、基金财产清算剩余资产的分配</w:t>
      </w:r>
    </w:p>
    <w:p w14:paraId="576AB390" w14:textId="77777777" w:rsidR="00DD2567" w:rsidRDefault="00680E4C">
      <w:pPr>
        <w:spacing w:line="360" w:lineRule="auto"/>
        <w:ind w:firstLineChars="200" w:firstLine="480"/>
        <w:rPr>
          <w:rFonts w:ascii="宋体" w:hAnsi="宋体"/>
          <w:bCs/>
          <w:sz w:val="24"/>
        </w:rPr>
      </w:pPr>
      <w:r>
        <w:rPr>
          <w:rFonts w:ascii="宋体" w:hAnsi="宋体"/>
          <w:bCs/>
          <w:sz w:val="24"/>
        </w:rPr>
        <w:t>依据基金财产清算的分配方案，将基金财产清算后的全部剩余资产扣除基金财产清算费用、交纳所欠税款并清偿基金债务后，按基金份额持有人持有的基金份额比例进行分配。</w:t>
      </w:r>
    </w:p>
    <w:p w14:paraId="33777CCC" w14:textId="77777777" w:rsidR="00DD2567" w:rsidRDefault="00680E4C">
      <w:pPr>
        <w:spacing w:line="360" w:lineRule="auto"/>
        <w:ind w:firstLineChars="200" w:firstLine="480"/>
        <w:rPr>
          <w:rFonts w:ascii="宋体" w:hAnsi="宋体"/>
          <w:bCs/>
          <w:sz w:val="24"/>
        </w:rPr>
      </w:pPr>
      <w:r>
        <w:rPr>
          <w:rFonts w:ascii="宋体" w:hAnsi="宋体" w:hint="eastAsia"/>
          <w:bCs/>
          <w:sz w:val="24"/>
        </w:rPr>
        <w:t>七</w:t>
      </w:r>
      <w:r>
        <w:rPr>
          <w:rFonts w:ascii="宋体" w:hAnsi="宋体"/>
          <w:bCs/>
          <w:sz w:val="24"/>
        </w:rPr>
        <w:t>、基金财产清算的公告</w:t>
      </w:r>
    </w:p>
    <w:p w14:paraId="09FB5DA7" w14:textId="77777777" w:rsidR="00DD2567" w:rsidRDefault="00680E4C">
      <w:pPr>
        <w:spacing w:line="360" w:lineRule="auto"/>
        <w:ind w:firstLineChars="200" w:firstLine="480"/>
        <w:rPr>
          <w:rFonts w:ascii="宋体" w:hAnsi="宋体"/>
          <w:bCs/>
          <w:sz w:val="24"/>
        </w:rPr>
      </w:pPr>
      <w:r>
        <w:rPr>
          <w:rFonts w:ascii="宋体" w:hAnsi="宋体"/>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宋体" w:hAnsi="宋体" w:hint="eastAsia"/>
          <w:bCs/>
          <w:sz w:val="24"/>
        </w:rPr>
        <w:t>5</w:t>
      </w:r>
      <w:r>
        <w:rPr>
          <w:rFonts w:ascii="宋体" w:hAnsi="宋体"/>
          <w:bCs/>
          <w:sz w:val="24"/>
        </w:rPr>
        <w:t>个工作日内由基金财产清算小</w:t>
      </w:r>
      <w:r>
        <w:rPr>
          <w:rFonts w:ascii="宋体" w:hAnsi="宋体"/>
          <w:bCs/>
          <w:sz w:val="24"/>
        </w:rPr>
        <w:lastRenderedPageBreak/>
        <w:t>组进行公告。</w:t>
      </w:r>
    </w:p>
    <w:p w14:paraId="0B448459" w14:textId="77777777" w:rsidR="00DD2567" w:rsidRDefault="00680E4C">
      <w:pPr>
        <w:spacing w:line="360" w:lineRule="auto"/>
        <w:ind w:firstLineChars="200" w:firstLine="480"/>
        <w:rPr>
          <w:rFonts w:ascii="宋体" w:hAnsi="宋体"/>
          <w:bCs/>
          <w:sz w:val="24"/>
        </w:rPr>
      </w:pPr>
      <w:r>
        <w:rPr>
          <w:rFonts w:ascii="宋体" w:hAnsi="宋体" w:hint="eastAsia"/>
          <w:bCs/>
          <w:sz w:val="24"/>
        </w:rPr>
        <w:t>八</w:t>
      </w:r>
      <w:r>
        <w:rPr>
          <w:rFonts w:ascii="宋体" w:hAnsi="宋体"/>
          <w:bCs/>
          <w:sz w:val="24"/>
        </w:rPr>
        <w:t>、基金财产清算账册及文件的保存</w:t>
      </w:r>
    </w:p>
    <w:p w14:paraId="5E95F20B" w14:textId="77777777" w:rsidR="00DD2567" w:rsidRDefault="00680E4C">
      <w:pPr>
        <w:spacing w:line="360" w:lineRule="auto"/>
        <w:ind w:firstLineChars="200" w:firstLine="480"/>
        <w:rPr>
          <w:rFonts w:ascii="宋体" w:hAnsi="宋体"/>
          <w:bCs/>
          <w:sz w:val="24"/>
        </w:rPr>
      </w:pPr>
      <w:r>
        <w:rPr>
          <w:rFonts w:ascii="宋体" w:hAnsi="宋体"/>
          <w:bCs/>
          <w:sz w:val="24"/>
        </w:rPr>
        <w:t>基金财产清算账册及有关文件由基金托管人保存</w:t>
      </w:r>
      <w:r>
        <w:rPr>
          <w:rFonts w:ascii="宋体" w:hAnsi="宋体" w:hint="eastAsia"/>
          <w:bCs/>
          <w:sz w:val="24"/>
        </w:rPr>
        <w:t>15</w:t>
      </w:r>
      <w:r>
        <w:rPr>
          <w:rFonts w:ascii="宋体" w:hAnsi="宋体"/>
          <w:bCs/>
          <w:sz w:val="24"/>
        </w:rPr>
        <w:t>年以上。</w:t>
      </w:r>
    </w:p>
    <w:p w14:paraId="3973742D"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第四部分争议解决方式</w:t>
      </w:r>
    </w:p>
    <w:p w14:paraId="1D3CB692" w14:textId="32F25631" w:rsidR="00DD2567" w:rsidRDefault="0085123B">
      <w:pPr>
        <w:spacing w:line="360" w:lineRule="auto"/>
        <w:ind w:firstLineChars="200" w:firstLine="480"/>
        <w:rPr>
          <w:rFonts w:ascii="宋体" w:hAnsi="宋体"/>
          <w:bCs/>
          <w:sz w:val="24"/>
        </w:rPr>
      </w:pPr>
      <w:r>
        <w:rPr>
          <w:rFonts w:ascii="宋体" w:hAnsi="宋体" w:hint="eastAsia"/>
          <w:bCs/>
          <w:sz w:val="24"/>
        </w:rPr>
        <w:t>基金合同</w:t>
      </w:r>
      <w:r w:rsidR="00680E4C">
        <w:rPr>
          <w:rFonts w:ascii="宋体" w:hAnsi="宋体" w:hint="eastAsia"/>
          <w:bCs/>
          <w:sz w:val="24"/>
        </w:rPr>
        <w:t>的当事人之间因</w:t>
      </w:r>
      <w:r>
        <w:rPr>
          <w:rFonts w:ascii="宋体" w:hAnsi="宋体" w:hint="eastAsia"/>
          <w:bCs/>
          <w:sz w:val="24"/>
        </w:rPr>
        <w:t>基金合同</w:t>
      </w:r>
      <w:r w:rsidR="00680E4C">
        <w:rPr>
          <w:rFonts w:ascii="宋体" w:hAnsi="宋体" w:hint="eastAsia"/>
          <w:bCs/>
          <w:sz w:val="24"/>
        </w:rPr>
        <w:t>产生的或与</w:t>
      </w:r>
      <w:r>
        <w:rPr>
          <w:rFonts w:ascii="宋体" w:hAnsi="宋体" w:hint="eastAsia"/>
          <w:bCs/>
          <w:sz w:val="24"/>
        </w:rPr>
        <w:t>基金合同</w:t>
      </w:r>
      <w:r w:rsidR="00680E4C">
        <w:rPr>
          <w:rFonts w:ascii="宋体" w:hAnsi="宋体" w:hint="eastAsia"/>
          <w:bCs/>
          <w:sz w:val="24"/>
        </w:rPr>
        <w:t>有关的争议可首先通过友好协商或调解解决。如果争议未能以协商或调解方式解决，则任何一方有权将争议提交中国国际经济贸易仲裁委员会，根据提交仲裁时有效的仲裁规则进行仲裁</w:t>
      </w:r>
      <w:r w:rsidR="00680E4C">
        <w:rPr>
          <w:rFonts w:hint="eastAsia"/>
          <w:bCs/>
          <w:sz w:val="24"/>
        </w:rPr>
        <w:t>，仲裁地点在上海</w:t>
      </w:r>
      <w:r w:rsidR="00680E4C">
        <w:rPr>
          <w:rFonts w:ascii="宋体" w:hAnsi="宋体" w:hint="eastAsia"/>
          <w:bCs/>
          <w:sz w:val="24"/>
        </w:rPr>
        <w:t>。仲裁裁决是终局的，对仲裁各方当事人均具有约束力。仲裁费用由败诉方承担。</w:t>
      </w:r>
    </w:p>
    <w:p w14:paraId="3D34B8CF" w14:textId="011ADF92" w:rsidR="00DD2567" w:rsidRDefault="00680E4C">
      <w:pPr>
        <w:spacing w:line="360" w:lineRule="auto"/>
        <w:ind w:firstLineChars="200" w:firstLine="480"/>
        <w:rPr>
          <w:rFonts w:ascii="宋体" w:hAnsi="宋体"/>
          <w:bCs/>
          <w:sz w:val="24"/>
        </w:rPr>
      </w:pPr>
      <w:r>
        <w:rPr>
          <w:rFonts w:ascii="宋体" w:hAnsi="宋体" w:hint="eastAsia"/>
          <w:bCs/>
          <w:sz w:val="24"/>
        </w:rPr>
        <w:t>除争议所涉内容之外，</w:t>
      </w:r>
      <w:r w:rsidR="0085123B">
        <w:rPr>
          <w:rFonts w:ascii="宋体" w:hAnsi="宋体" w:hint="eastAsia"/>
          <w:bCs/>
          <w:sz w:val="24"/>
        </w:rPr>
        <w:t>基金合同</w:t>
      </w:r>
      <w:r>
        <w:rPr>
          <w:rFonts w:ascii="宋体" w:hAnsi="宋体" w:hint="eastAsia"/>
          <w:bCs/>
          <w:sz w:val="24"/>
        </w:rPr>
        <w:t>的其他部分应当由</w:t>
      </w:r>
      <w:r w:rsidR="0085123B">
        <w:rPr>
          <w:rFonts w:ascii="宋体" w:hAnsi="宋体" w:hint="eastAsia"/>
          <w:bCs/>
          <w:sz w:val="24"/>
        </w:rPr>
        <w:t>基金合同</w:t>
      </w:r>
      <w:r>
        <w:rPr>
          <w:rFonts w:ascii="宋体" w:hAnsi="宋体" w:hint="eastAsia"/>
          <w:bCs/>
          <w:sz w:val="24"/>
        </w:rPr>
        <w:t>当事人继续履行。</w:t>
      </w:r>
    </w:p>
    <w:p w14:paraId="2AA2B8C3" w14:textId="77777777" w:rsidR="00DD2567" w:rsidRDefault="00680E4C">
      <w:pPr>
        <w:spacing w:line="360" w:lineRule="auto"/>
        <w:ind w:firstLineChars="200" w:firstLine="480"/>
        <w:rPr>
          <w:rFonts w:ascii="宋体" w:hAnsi="宋体"/>
          <w:bCs/>
          <w:sz w:val="24"/>
        </w:rPr>
      </w:pPr>
      <w:r>
        <w:rPr>
          <w:rFonts w:ascii="宋体" w:hAnsi="宋体" w:hint="eastAsia"/>
          <w:bCs/>
          <w:sz w:val="24"/>
        </w:rPr>
        <w:t>《基金合同》受中国法律管辖。</w:t>
      </w:r>
    </w:p>
    <w:p w14:paraId="3F96E955"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第五部分基金合同存放地和投资者取得基金合同的方式</w:t>
      </w:r>
    </w:p>
    <w:p w14:paraId="1B822937" w14:textId="77777777" w:rsidR="00DD2567" w:rsidRDefault="00680E4C">
      <w:pPr>
        <w:spacing w:line="360" w:lineRule="auto"/>
        <w:ind w:firstLineChars="200" w:firstLine="480"/>
        <w:rPr>
          <w:rFonts w:ascii="宋体" w:hAnsi="宋体"/>
          <w:bCs/>
          <w:sz w:val="24"/>
        </w:rPr>
      </w:pPr>
      <w:r>
        <w:rPr>
          <w:rFonts w:ascii="宋体" w:hAnsi="宋体" w:hint="eastAsia"/>
          <w:bCs/>
          <w:sz w:val="24"/>
        </w:rPr>
        <w:t>《基金合同》可印制成册，供投资者在基金管理人、基金托管人、销售机构的办公场所和营业场所查阅。</w:t>
      </w:r>
    </w:p>
    <w:p w14:paraId="6B73D375" w14:textId="26F4A486" w:rsidR="00DD2567" w:rsidRDefault="00680E4C">
      <w:pPr>
        <w:pStyle w:val="1"/>
        <w:spacing w:before="0" w:after="0"/>
        <w:ind w:firstLine="600"/>
        <w:jc w:val="center"/>
        <w:rPr>
          <w:rFonts w:hAnsi="宋体"/>
          <w:bCs/>
        </w:rPr>
      </w:pPr>
      <w:r>
        <w:rPr>
          <w:sz w:val="30"/>
        </w:rPr>
        <w:br w:type="page"/>
      </w:r>
      <w:bookmarkStart w:id="418" w:name="_Toc342469914"/>
      <w:r>
        <w:rPr>
          <w:rFonts w:ascii="Times New Roman" w:hint="eastAsia"/>
          <w:color w:val="auto"/>
          <w:sz w:val="30"/>
        </w:rPr>
        <w:lastRenderedPageBreak/>
        <w:t>附件二</w:t>
      </w:r>
      <w:r w:rsidR="007B4A6C">
        <w:rPr>
          <w:rFonts w:ascii="Times New Roman" w:hint="eastAsia"/>
          <w:color w:val="auto"/>
          <w:sz w:val="30"/>
        </w:rPr>
        <w:t xml:space="preserve"> </w:t>
      </w:r>
      <w:r>
        <w:rPr>
          <w:rFonts w:ascii="Times New Roman" w:hint="eastAsia"/>
          <w:color w:val="auto"/>
          <w:sz w:val="30"/>
        </w:rPr>
        <w:t>托管协议的</w:t>
      </w:r>
      <w:r>
        <w:rPr>
          <w:rFonts w:ascii="Times New Roman"/>
          <w:color w:val="auto"/>
          <w:sz w:val="30"/>
        </w:rPr>
        <w:t>内容摘要</w:t>
      </w:r>
      <w:bookmarkEnd w:id="418"/>
    </w:p>
    <w:p w14:paraId="55841D59" w14:textId="77777777" w:rsidR="00DD2567" w:rsidRDefault="00680E4C">
      <w:pPr>
        <w:pStyle w:val="2"/>
        <w:spacing w:before="200" w:after="200" w:line="360" w:lineRule="auto"/>
        <w:ind w:firstLineChars="200" w:firstLine="482"/>
        <w:rPr>
          <w:rFonts w:eastAsia="宋体"/>
          <w:sz w:val="24"/>
          <w:szCs w:val="24"/>
        </w:rPr>
      </w:pPr>
      <w:bookmarkStart w:id="419" w:name="_Toc297030274"/>
      <w:bookmarkStart w:id="420" w:name="_Toc301273722"/>
      <w:bookmarkStart w:id="421" w:name="_Toc301543294"/>
      <w:bookmarkStart w:id="422" w:name="_Toc314487628"/>
      <w:r>
        <w:rPr>
          <w:rFonts w:eastAsia="宋体" w:hint="eastAsia"/>
          <w:sz w:val="24"/>
          <w:szCs w:val="24"/>
        </w:rPr>
        <w:t>第一部分基金托管协议当事人</w:t>
      </w:r>
      <w:bookmarkEnd w:id="419"/>
      <w:bookmarkEnd w:id="420"/>
      <w:bookmarkEnd w:id="421"/>
      <w:bookmarkEnd w:id="422"/>
    </w:p>
    <w:p w14:paraId="4866C443" w14:textId="77777777" w:rsidR="00DD2567" w:rsidRDefault="00680E4C">
      <w:pPr>
        <w:adjustRightInd w:val="0"/>
        <w:snapToGrid w:val="0"/>
        <w:spacing w:line="384" w:lineRule="auto"/>
        <w:ind w:firstLineChars="200" w:firstLine="480"/>
        <w:rPr>
          <w:rFonts w:ascii="宋体" w:hAnsi="宋体"/>
          <w:color w:val="000000"/>
          <w:sz w:val="24"/>
        </w:rPr>
      </w:pPr>
      <w:bookmarkStart w:id="423" w:name="_Toc22454433"/>
      <w:bookmarkStart w:id="424" w:name="_Toc77662992"/>
      <w:r>
        <w:rPr>
          <w:rFonts w:ascii="宋体" w:hAnsi="宋体" w:hint="eastAsia"/>
          <w:color w:val="000000"/>
          <w:sz w:val="24"/>
        </w:rPr>
        <w:t>一、基金管理人</w:t>
      </w:r>
      <w:bookmarkEnd w:id="423"/>
      <w:bookmarkEnd w:id="424"/>
    </w:p>
    <w:p w14:paraId="29840B85"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名称：浙商基金管理有限公司</w:t>
      </w:r>
    </w:p>
    <w:p w14:paraId="49BAA43D"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住所：杭州市下城区环城北路208号1801室</w:t>
      </w:r>
    </w:p>
    <w:p w14:paraId="183B9779" w14:textId="47E5B696"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办公地址：</w:t>
      </w:r>
      <w:r>
        <w:rPr>
          <w:rFonts w:ascii="宋体" w:hAnsi="宋体"/>
          <w:color w:val="000000"/>
          <w:sz w:val="24"/>
        </w:rPr>
        <w:t>杭州市西湖区教工路18号世贸丽晶城欧美中心</w:t>
      </w:r>
      <w:r w:rsidR="00736AF7">
        <w:rPr>
          <w:rFonts w:ascii="宋体" w:hAnsi="宋体"/>
          <w:color w:val="000000"/>
          <w:sz w:val="24"/>
        </w:rPr>
        <w:t>B座507室</w:t>
      </w:r>
    </w:p>
    <w:p w14:paraId="412EB23B"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法定代表人：肖风</w:t>
      </w:r>
    </w:p>
    <w:p w14:paraId="377860E5"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成立时间：</w:t>
      </w:r>
      <w:r>
        <w:rPr>
          <w:rFonts w:ascii="宋体" w:hAnsi="宋体"/>
          <w:color w:val="000000"/>
          <w:sz w:val="24"/>
        </w:rPr>
        <w:t>2010</w:t>
      </w:r>
      <w:r>
        <w:rPr>
          <w:rFonts w:ascii="宋体" w:hAnsi="宋体" w:hint="eastAsia"/>
          <w:color w:val="000000"/>
          <w:sz w:val="24"/>
        </w:rPr>
        <w:t>年</w:t>
      </w:r>
      <w:r>
        <w:rPr>
          <w:rFonts w:ascii="宋体" w:hAnsi="宋体"/>
          <w:color w:val="000000"/>
          <w:sz w:val="24"/>
        </w:rPr>
        <w:t>10</w:t>
      </w:r>
      <w:r>
        <w:rPr>
          <w:rFonts w:ascii="宋体" w:hAnsi="宋体" w:hint="eastAsia"/>
          <w:color w:val="000000"/>
          <w:sz w:val="24"/>
        </w:rPr>
        <w:t>月</w:t>
      </w:r>
      <w:r>
        <w:rPr>
          <w:rFonts w:ascii="宋体" w:hAnsi="宋体"/>
          <w:color w:val="000000"/>
          <w:sz w:val="24"/>
        </w:rPr>
        <w:t>21</w:t>
      </w:r>
      <w:r>
        <w:rPr>
          <w:rFonts w:ascii="宋体" w:hAnsi="宋体" w:hint="eastAsia"/>
          <w:color w:val="000000"/>
          <w:sz w:val="24"/>
        </w:rPr>
        <w:t>日</w:t>
      </w:r>
    </w:p>
    <w:p w14:paraId="2029F468"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批准设立机关：中国证监会</w:t>
      </w:r>
    </w:p>
    <w:p w14:paraId="0491EAA3"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批准设立文号：</w:t>
      </w:r>
      <w:r>
        <w:rPr>
          <w:rFonts w:ascii="宋体" w:hAnsi="宋体"/>
          <w:color w:val="000000"/>
          <w:sz w:val="24"/>
        </w:rPr>
        <w:t>中国证监会证监</w:t>
      </w:r>
      <w:r>
        <w:rPr>
          <w:rFonts w:ascii="宋体" w:hAnsi="宋体" w:hint="eastAsia"/>
          <w:color w:val="000000"/>
          <w:sz w:val="24"/>
        </w:rPr>
        <w:t>许可【2010】1312号</w:t>
      </w:r>
    </w:p>
    <w:p w14:paraId="6CE3332C"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经营范围：基金管理业务、发起设立基金及中国证券监督管理委员会批准的其他业务。</w:t>
      </w:r>
    </w:p>
    <w:p w14:paraId="632F1585"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注册资本：3亿</w:t>
      </w:r>
      <w:r>
        <w:rPr>
          <w:rFonts w:hint="eastAsia"/>
          <w:color w:val="000000"/>
        </w:rPr>
        <w:t>元人民币</w:t>
      </w:r>
    </w:p>
    <w:p w14:paraId="205976F2"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组织形式：有限责任公司</w:t>
      </w:r>
    </w:p>
    <w:p w14:paraId="2334DD69"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存续期间：持续经营</w:t>
      </w:r>
      <w:bookmarkStart w:id="425" w:name="_Toc22454434"/>
      <w:bookmarkStart w:id="426" w:name="_Toc77662993"/>
    </w:p>
    <w:p w14:paraId="3E1EC12A"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二、基金托管人</w:t>
      </w:r>
      <w:bookmarkEnd w:id="425"/>
      <w:bookmarkEnd w:id="426"/>
    </w:p>
    <w:p w14:paraId="3CE52EB1"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名称：交通银行股份有限公司（简称：交通银行）</w:t>
      </w:r>
    </w:p>
    <w:p w14:paraId="3F3D0C40"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住所：上海市浦东新区银城中路188号（邮政编码：200120）</w:t>
      </w:r>
    </w:p>
    <w:p w14:paraId="240BC5D3"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办公地址：上海市长宁区仙霞路</w:t>
      </w:r>
      <w:r>
        <w:rPr>
          <w:rFonts w:ascii="宋体" w:hAnsi="宋体"/>
          <w:color w:val="000000"/>
          <w:sz w:val="24"/>
        </w:rPr>
        <w:t>18</w:t>
      </w:r>
      <w:r>
        <w:rPr>
          <w:rFonts w:ascii="宋体" w:hAnsi="宋体" w:hint="eastAsia"/>
          <w:color w:val="000000"/>
          <w:sz w:val="24"/>
        </w:rPr>
        <w:t>号（邮政编码：200336）</w:t>
      </w:r>
    </w:p>
    <w:p w14:paraId="72B0E992"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法定代表人：</w:t>
      </w:r>
      <w:r>
        <w:rPr>
          <w:rFonts w:ascii="宋体" w:hAnsi="宋体" w:hint="eastAsia"/>
          <w:sz w:val="24"/>
        </w:rPr>
        <w:t>牛锡明</w:t>
      </w:r>
    </w:p>
    <w:p w14:paraId="07FD6F8B"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注册时间：1987年3月30日</w:t>
      </w:r>
    </w:p>
    <w:p w14:paraId="20ACD162"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批准设立机关及批准设立文号：国务院国发(1986)字第81 号文和中国人民银行银发［1987］40号文</w:t>
      </w:r>
    </w:p>
    <w:p w14:paraId="20E964AF"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hAnsi="宋体"/>
          <w:color w:val="000000"/>
          <w:sz w:val="24"/>
        </w:rPr>
        <w:t>中国证监会证监基字［1998］25号</w:t>
      </w:r>
    </w:p>
    <w:p w14:paraId="34C85D60"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经营范围：吸收公众存款；发放短期、中期和长期贷款；办理国内外结算；办理票据承兑与贴现；发行金融债券；代理发行、代理兑付、承销政府债券；买卖政府债券、金融债券；从事同业拆借；买卖、代理买卖外汇；从事银行卡业务；</w:t>
      </w:r>
      <w:r>
        <w:rPr>
          <w:rFonts w:ascii="宋体" w:hAnsi="宋体" w:hint="eastAsia"/>
          <w:color w:val="000000"/>
          <w:sz w:val="24"/>
        </w:rPr>
        <w:lastRenderedPageBreak/>
        <w:t>提供信用证服务及担保；代理收付款项业务；提供保管箱服务；经国务院银行业监督管理机构批准的其他业务；经营结汇、售汇业务。</w:t>
      </w:r>
    </w:p>
    <w:p w14:paraId="05B2F083"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注册资本：</w:t>
      </w:r>
      <w:r>
        <w:rPr>
          <w:rFonts w:ascii="宋体" w:hAnsi="宋体" w:hint="eastAsia"/>
          <w:sz w:val="24"/>
        </w:rPr>
        <w:t>742.62</w:t>
      </w:r>
      <w:r>
        <w:rPr>
          <w:rFonts w:ascii="宋体" w:hAnsi="宋体" w:hint="eastAsia"/>
          <w:color w:val="000000"/>
          <w:sz w:val="24"/>
        </w:rPr>
        <w:t>亿元人民币</w:t>
      </w:r>
    </w:p>
    <w:p w14:paraId="3CC193C1"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组织形式：股份有限公司</w:t>
      </w:r>
    </w:p>
    <w:p w14:paraId="694E157F" w14:textId="77777777" w:rsidR="00DD2567" w:rsidRDefault="00680E4C">
      <w:pPr>
        <w:adjustRightInd w:val="0"/>
        <w:snapToGrid w:val="0"/>
        <w:spacing w:line="384" w:lineRule="auto"/>
        <w:ind w:firstLineChars="200" w:firstLine="480"/>
        <w:rPr>
          <w:rFonts w:ascii="宋体" w:hAnsi="宋体"/>
          <w:color w:val="000000"/>
          <w:sz w:val="24"/>
        </w:rPr>
      </w:pPr>
      <w:r>
        <w:rPr>
          <w:rFonts w:ascii="宋体" w:hAnsi="宋体" w:hint="eastAsia"/>
          <w:color w:val="000000"/>
          <w:sz w:val="24"/>
        </w:rPr>
        <w:t>存续期间：持续经营</w:t>
      </w:r>
    </w:p>
    <w:p w14:paraId="739BA6CA"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第二部分基金托管人对基金管理人的业务监督和核查</w:t>
      </w:r>
    </w:p>
    <w:p w14:paraId="355A84AD"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一、基金托管人对基金管理人的投资行为行使监督权</w:t>
      </w:r>
    </w:p>
    <w:p w14:paraId="6CA0ACE6"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1、基金托管人根据有关法律法规的规定及《基金合同》和本协议的约定，对基金的投资范围、投资对象进行监督。</w:t>
      </w:r>
    </w:p>
    <w:p w14:paraId="6B15DB67" w14:textId="77777777" w:rsidR="00DD2567" w:rsidRDefault="00680E4C">
      <w:pPr>
        <w:spacing w:line="360" w:lineRule="auto"/>
        <w:ind w:firstLine="480"/>
        <w:rPr>
          <w:rFonts w:ascii="宋体" w:hAnsi="宋体"/>
          <w:bCs/>
          <w:sz w:val="24"/>
        </w:rPr>
      </w:pPr>
      <w:r>
        <w:rPr>
          <w:rFonts w:ascii="宋体" w:hAnsi="宋体"/>
          <w:bCs/>
          <w:sz w:val="24"/>
        </w:rPr>
        <w:t>本基金的投资范围为具有良好流动性的金融工具，包括国内依法发行上市的股票</w:t>
      </w:r>
      <w:r>
        <w:rPr>
          <w:rFonts w:ascii="宋体" w:hAnsi="宋体" w:hint="eastAsia"/>
          <w:sz w:val="24"/>
        </w:rPr>
        <w:t>（包含中小板、创业板及其他经中国证监会核准上市的股票）</w:t>
      </w:r>
      <w:r>
        <w:rPr>
          <w:rFonts w:ascii="宋体" w:hAnsi="宋体"/>
          <w:bCs/>
          <w:sz w:val="24"/>
        </w:rPr>
        <w:t>、债券</w:t>
      </w:r>
      <w:r>
        <w:rPr>
          <w:rFonts w:ascii="宋体" w:hAnsi="宋体" w:hint="eastAsia"/>
          <w:sz w:val="24"/>
        </w:rPr>
        <w:t>（包含中小企业私募债券）、中期票据、股指期货、权证、资产支持证券</w:t>
      </w:r>
      <w:r>
        <w:rPr>
          <w:rFonts w:ascii="宋体" w:hAnsi="宋体"/>
          <w:bCs/>
          <w:sz w:val="24"/>
        </w:rPr>
        <w:t>以及法律法规或中国证监会允许基金投资的其他金融工具（但须符合中国证监会相关规定）。</w:t>
      </w:r>
    </w:p>
    <w:p w14:paraId="47667B8B" w14:textId="77777777" w:rsidR="00DD2567" w:rsidRDefault="00680E4C">
      <w:pPr>
        <w:spacing w:line="360" w:lineRule="auto"/>
        <w:ind w:firstLine="480"/>
        <w:rPr>
          <w:rFonts w:ascii="宋体" w:hAnsi="宋体"/>
          <w:bCs/>
          <w:sz w:val="24"/>
        </w:rPr>
      </w:pPr>
      <w:r>
        <w:rPr>
          <w:rFonts w:ascii="宋体" w:hAnsi="宋体"/>
          <w:bCs/>
          <w:sz w:val="24"/>
        </w:rPr>
        <w:t>基金的投资组合比例为：</w:t>
      </w:r>
      <w:r>
        <w:rPr>
          <w:rFonts w:ascii="宋体" w:hAnsi="宋体" w:hint="eastAsia"/>
          <w:sz w:val="24"/>
        </w:rPr>
        <w:t>股票资产占基金资产的比例范围为0%-95%；债券资产、货币市场工具、权证、资产支持证券以及法律法规或中国证监会允许基金投资的其他证券品种</w:t>
      </w:r>
      <w:r>
        <w:rPr>
          <w:rFonts w:ascii="宋体" w:hAnsi="宋体" w:hint="eastAsia"/>
          <w:bCs/>
          <w:sz w:val="24"/>
        </w:rPr>
        <w:t>以及其他资产</w:t>
      </w:r>
      <w:r>
        <w:rPr>
          <w:rFonts w:ascii="宋体" w:hAnsi="宋体" w:hint="eastAsia"/>
          <w:sz w:val="24"/>
        </w:rPr>
        <w:t>占基金资产的比例范围为5%-100%，其中基金持有全部权证的市值不超过基金资产净值的3%，</w:t>
      </w:r>
      <w:r>
        <w:rPr>
          <w:rFonts w:ascii="宋体" w:hAnsi="宋体"/>
          <w:bCs/>
          <w:sz w:val="24"/>
        </w:rPr>
        <w:t>每个交易日日终</w:t>
      </w:r>
      <w:r>
        <w:rPr>
          <w:rFonts w:ascii="宋体" w:hAnsi="宋体" w:hint="eastAsia"/>
          <w:sz w:val="24"/>
        </w:rPr>
        <w:t>在扣除股指期货保证金以后基金保留的现金或到期日在一年以内的政府债券比例合计不低于基金资产净值的5%。</w:t>
      </w:r>
    </w:p>
    <w:p w14:paraId="419E7024" w14:textId="77777777" w:rsidR="00DD2567" w:rsidRDefault="00680E4C">
      <w:pPr>
        <w:spacing w:line="360" w:lineRule="auto"/>
        <w:ind w:firstLineChars="200" w:firstLine="480"/>
        <w:rPr>
          <w:rFonts w:ascii="宋体" w:hAnsi="宋体"/>
          <w:bCs/>
          <w:sz w:val="24"/>
        </w:rPr>
      </w:pPr>
      <w:r>
        <w:rPr>
          <w:rFonts w:ascii="宋体" w:hAnsi="宋体"/>
          <w:bCs/>
          <w:sz w:val="24"/>
        </w:rPr>
        <w:t>如法律法规或监管机构以后允许基金投资其他品种，基金管理人在履行适当程序后，可以将其纳入投资范围。</w:t>
      </w:r>
    </w:p>
    <w:p w14:paraId="7640FD73"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基金托管人运用相关技术系统，对基金实际投资是否符合《基金合同》的相关约定进行监督，对存在疑义的事项进行核查。基金托管人对基金管理人业务进行监督和核查的义务自《基金合同》生效日起开始履行。</w:t>
      </w:r>
    </w:p>
    <w:p w14:paraId="364825F4"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基金托管人发现基金管理人的投资有超出以上范围的行为，应及时以书面形式通知基金管理人在</w:t>
      </w:r>
      <w:r>
        <w:rPr>
          <w:rFonts w:ascii="宋体" w:hAnsi="宋体"/>
          <w:kern w:val="0"/>
          <w:sz w:val="24"/>
        </w:rPr>
        <w:t>10个工作日内纠正。基金管理人对基金托管人通知的违规事项未能在10个工作日内纠正的，基金托管人应报告中国证监会。基金托管人发现基金管理人有重大违规行为，应立即报告中国证监会，同时通知基金管理人</w:t>
      </w:r>
      <w:r>
        <w:rPr>
          <w:rFonts w:ascii="宋体" w:hAnsi="宋体"/>
          <w:kern w:val="0"/>
          <w:sz w:val="24"/>
        </w:rPr>
        <w:lastRenderedPageBreak/>
        <w:t>在10个工作日内纠正。</w:t>
      </w:r>
    </w:p>
    <w:p w14:paraId="08E4E12E" w14:textId="125D5F01" w:rsidR="00DD2567" w:rsidRDefault="00680E4C">
      <w:pPr>
        <w:spacing w:line="360" w:lineRule="auto"/>
        <w:ind w:firstLineChars="200" w:firstLine="480"/>
        <w:rPr>
          <w:rFonts w:ascii="宋体" w:hAnsi="宋体"/>
          <w:b/>
          <w:bCs/>
          <w:sz w:val="24"/>
        </w:rPr>
      </w:pPr>
      <w:r>
        <w:rPr>
          <w:rFonts w:ascii="宋体" w:hAnsi="宋体" w:hint="eastAsia"/>
          <w:kern w:val="0"/>
          <w:sz w:val="24"/>
        </w:rPr>
        <w:t>2、基金托管人根据有关法律法规的规定及《基金合同》和本协议的约定，对基金投资比例进行监督。</w:t>
      </w:r>
    </w:p>
    <w:p w14:paraId="4F9F4587" w14:textId="77777777" w:rsidR="00DD2567" w:rsidRDefault="00680E4C">
      <w:pPr>
        <w:tabs>
          <w:tab w:val="left" w:pos="1260"/>
        </w:tabs>
        <w:spacing w:line="336" w:lineRule="auto"/>
        <w:ind w:firstLineChars="200" w:firstLine="480"/>
        <w:rPr>
          <w:rFonts w:ascii="宋体" w:hAnsi="宋体"/>
          <w:kern w:val="0"/>
          <w:sz w:val="24"/>
        </w:rPr>
      </w:pPr>
      <w:r>
        <w:rPr>
          <w:rFonts w:ascii="宋体" w:hAnsi="宋体" w:hint="eastAsia"/>
          <w:kern w:val="0"/>
          <w:sz w:val="24"/>
        </w:rPr>
        <w:t>根据《基金合同》的约定，本基金投资组合比例应符合以下规定：</w:t>
      </w:r>
    </w:p>
    <w:p w14:paraId="2C3B1F24" w14:textId="77777777" w:rsidR="00DD2567" w:rsidRDefault="00680E4C">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股票资产占基金资产的比例范围为0%-95%；债券资产、货币市场工具、权证、资产支持证券以及法律法规或中国证监会允许基金投资的其他证券品种占基金资产的比例范围为5%-100%；</w:t>
      </w:r>
    </w:p>
    <w:p w14:paraId="73266C69"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2</w:t>
      </w:r>
      <w:r>
        <w:rPr>
          <w:rFonts w:ascii="宋体" w:hAnsi="宋体"/>
          <w:bCs/>
          <w:sz w:val="24"/>
        </w:rPr>
        <w:t>）每个交易日日终</w:t>
      </w:r>
      <w:r>
        <w:rPr>
          <w:rFonts w:ascii="宋体" w:hAnsi="宋体" w:hint="eastAsia"/>
          <w:bCs/>
          <w:sz w:val="24"/>
        </w:rPr>
        <w:t>在</w:t>
      </w:r>
      <w:r>
        <w:rPr>
          <w:rFonts w:ascii="宋体" w:hAnsi="宋体" w:hint="eastAsia"/>
          <w:sz w:val="24"/>
        </w:rPr>
        <w:t>扣除股指期货保证金以后基金保留的现金或到期日在一年以内的政府债券比例合计不低于基金资产净值的5%</w:t>
      </w:r>
      <w:r>
        <w:rPr>
          <w:rFonts w:ascii="宋体" w:hAnsi="宋体"/>
          <w:bCs/>
          <w:sz w:val="24"/>
        </w:rPr>
        <w:t>；</w:t>
      </w:r>
    </w:p>
    <w:p w14:paraId="2419EB29"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3</w:t>
      </w:r>
      <w:r>
        <w:rPr>
          <w:rFonts w:ascii="宋体" w:hAnsi="宋体"/>
          <w:bCs/>
          <w:sz w:val="24"/>
        </w:rPr>
        <w:t>）本基金持有一家公司</w:t>
      </w:r>
      <w:r>
        <w:rPr>
          <w:rFonts w:ascii="宋体" w:hAnsi="宋体" w:hint="eastAsia"/>
          <w:bCs/>
          <w:sz w:val="24"/>
        </w:rPr>
        <w:t>发行的证券</w:t>
      </w:r>
      <w:r>
        <w:rPr>
          <w:rFonts w:ascii="宋体" w:hAnsi="宋体"/>
          <w:bCs/>
          <w:sz w:val="24"/>
        </w:rPr>
        <w:t>，其市值不超过基金资产净值的10%；</w:t>
      </w:r>
    </w:p>
    <w:p w14:paraId="115F56D8"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4</w:t>
      </w:r>
      <w:r>
        <w:rPr>
          <w:rFonts w:ascii="宋体" w:hAnsi="宋体"/>
          <w:bCs/>
          <w:sz w:val="24"/>
        </w:rPr>
        <w:t>）本基金管理人管理的全部基金持有一家公司发行的证券，不超过该证券的10%；</w:t>
      </w:r>
    </w:p>
    <w:p w14:paraId="119352DF"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5</w:t>
      </w:r>
      <w:r>
        <w:rPr>
          <w:rFonts w:ascii="宋体" w:hAnsi="宋体"/>
          <w:bCs/>
          <w:sz w:val="24"/>
        </w:rPr>
        <w:t>）本基金持有的全部权证，其市值不得超过基金资产净值的3%；</w:t>
      </w:r>
    </w:p>
    <w:p w14:paraId="5BDEE38A"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6</w:t>
      </w:r>
      <w:r>
        <w:rPr>
          <w:rFonts w:ascii="宋体" w:hAnsi="宋体"/>
          <w:bCs/>
          <w:sz w:val="24"/>
        </w:rPr>
        <w:t>）本基金管理人管理的全部基金持有的同一权证，不得超过该权证的10%；</w:t>
      </w:r>
    </w:p>
    <w:p w14:paraId="10CC1D9F"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7</w:t>
      </w:r>
      <w:r>
        <w:rPr>
          <w:rFonts w:ascii="宋体" w:hAnsi="宋体"/>
          <w:bCs/>
          <w:sz w:val="24"/>
        </w:rPr>
        <w:t>）本基金在任何交易日买入权证的总金额，不得超过上一交易日基金资产净值的0.5%；</w:t>
      </w:r>
    </w:p>
    <w:p w14:paraId="0199133D"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8</w:t>
      </w:r>
      <w:r>
        <w:rPr>
          <w:rFonts w:ascii="宋体" w:hAnsi="宋体"/>
          <w:bCs/>
          <w:sz w:val="24"/>
        </w:rPr>
        <w:t>）本基金投资于同一原始权益人的各类资产支持证券的比例，不得超过基金资产净值的10%；</w:t>
      </w:r>
    </w:p>
    <w:p w14:paraId="6883C0A8" w14:textId="77777777" w:rsidR="00DD2567" w:rsidRDefault="00680E4C">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9</w:t>
      </w:r>
      <w:r>
        <w:rPr>
          <w:rFonts w:ascii="宋体" w:hAnsi="宋体"/>
          <w:bCs/>
          <w:sz w:val="24"/>
        </w:rPr>
        <w:t>）本基金持有的全部资产支持证券，其市值不得超过基金资产净值的20%；</w:t>
      </w:r>
    </w:p>
    <w:p w14:paraId="2182E166" w14:textId="77777777" w:rsidR="00DD2567" w:rsidRDefault="00680E4C">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0</w:t>
      </w:r>
      <w:r>
        <w:rPr>
          <w:rFonts w:ascii="宋体" w:hAnsi="宋体"/>
          <w:bCs/>
          <w:sz w:val="24"/>
        </w:rPr>
        <w:t>）本基金持有的同一（指同一信用级别）资产支持证券的比例，不得超过该资产支持证券规模的10%；</w:t>
      </w:r>
    </w:p>
    <w:p w14:paraId="350DC85E" w14:textId="77777777" w:rsidR="00DD2567" w:rsidRDefault="00680E4C">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1</w:t>
      </w:r>
      <w:r>
        <w:rPr>
          <w:rFonts w:ascii="宋体" w:hAnsi="宋体"/>
          <w:bCs/>
          <w:sz w:val="24"/>
        </w:rPr>
        <w:t>）本基金管理人管理的全部基金投资于同一原始权益人的各类资产支持证券，不得超过其各类资产支持证券合计规模的10%；</w:t>
      </w:r>
    </w:p>
    <w:p w14:paraId="6CCC8E78" w14:textId="77777777" w:rsidR="00DD2567" w:rsidRDefault="00680E4C">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2</w:t>
      </w:r>
      <w:r>
        <w:rPr>
          <w:rFonts w:ascii="宋体" w:hAnsi="宋体"/>
          <w:bCs/>
          <w:sz w:val="24"/>
        </w:rPr>
        <w:t>）本基金应投资于信用级别评级为BBB以上（含BBB）的资产支持证券。基金持有资产支持证券期间，如果其信用等级下降、不再符合投资标准，应在评级报告发布之日起3个月内予以全部卖出；</w:t>
      </w:r>
    </w:p>
    <w:p w14:paraId="7E828701" w14:textId="77777777" w:rsidR="00DD2567" w:rsidRDefault="00680E4C">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3</w:t>
      </w:r>
      <w:r>
        <w:rPr>
          <w:rFonts w:ascii="宋体" w:hAnsi="宋体"/>
          <w:bCs/>
          <w:sz w:val="24"/>
        </w:rPr>
        <w:t>）基金财产参与股票发行申购，本基金所申报的金额不超过本基金的总资产，本基金所申报的股票数量不超过拟发行股票公司本次发行股票的总量；</w:t>
      </w:r>
    </w:p>
    <w:p w14:paraId="7082237A" w14:textId="77777777" w:rsidR="00DD2567" w:rsidRDefault="00680E4C">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4</w:t>
      </w:r>
      <w:r>
        <w:rPr>
          <w:rFonts w:ascii="宋体" w:hAnsi="宋体"/>
          <w:bCs/>
          <w:sz w:val="24"/>
        </w:rPr>
        <w:t>）本基金进入全国银行间同业市场进行债券回购的资金余额不得超过基金资产净值的40%；</w:t>
      </w:r>
    </w:p>
    <w:p w14:paraId="4B97F1BC" w14:textId="77777777" w:rsidR="00DD2567" w:rsidRDefault="00680E4C">
      <w:pPr>
        <w:spacing w:line="360" w:lineRule="auto"/>
        <w:ind w:firstLineChars="200" w:firstLine="480"/>
        <w:rPr>
          <w:rFonts w:ascii="宋体" w:hAnsi="宋体"/>
          <w:bCs/>
          <w:sz w:val="24"/>
        </w:rPr>
      </w:pPr>
      <w:r>
        <w:rPr>
          <w:rFonts w:ascii="宋体" w:hAnsi="宋体" w:hint="eastAsia"/>
          <w:bCs/>
          <w:sz w:val="24"/>
        </w:rPr>
        <w:lastRenderedPageBreak/>
        <w:t>（15）本基金在任何交易日日终，持有的买入期货合约价值与有价证券市值之和，不得超过基金资产净值的95%；其中，有价证券指股票、债券（不含到期日在一年以内的政府债券）、权证、资产支持证券、买入返售金融资产（不含质押式回购）等；</w:t>
      </w:r>
    </w:p>
    <w:p w14:paraId="1F21A13A" w14:textId="77777777" w:rsidR="00DD2567" w:rsidRDefault="00680E4C">
      <w:pPr>
        <w:spacing w:line="360" w:lineRule="auto"/>
        <w:ind w:firstLineChars="200" w:firstLine="480"/>
        <w:rPr>
          <w:rFonts w:ascii="宋体" w:hAnsi="宋体"/>
          <w:bCs/>
          <w:sz w:val="24"/>
        </w:rPr>
      </w:pPr>
      <w:r>
        <w:rPr>
          <w:rFonts w:ascii="宋体" w:hAnsi="宋体" w:hint="eastAsia"/>
          <w:bCs/>
          <w:sz w:val="24"/>
        </w:rPr>
        <w:t>（16）本基金管理人应当按照中国金融期货交易所要求的内容、格式与时限向交易所报告所交易和持有的卖出股指期货合约情况、交易目的及对应的证券资产情况等；</w:t>
      </w:r>
    </w:p>
    <w:p w14:paraId="6832DF12" w14:textId="77777777" w:rsidR="00DD2567" w:rsidRDefault="00680E4C">
      <w:pPr>
        <w:spacing w:line="360" w:lineRule="auto"/>
        <w:ind w:firstLineChars="200" w:firstLine="480"/>
        <w:rPr>
          <w:rFonts w:ascii="宋体" w:hAnsi="宋体"/>
          <w:bCs/>
          <w:sz w:val="24"/>
        </w:rPr>
      </w:pPr>
      <w:r>
        <w:rPr>
          <w:rFonts w:ascii="宋体" w:hAnsi="宋体" w:hint="eastAsia"/>
          <w:bCs/>
          <w:sz w:val="24"/>
        </w:rPr>
        <w:t>（17）本基金所持有的股票市值和买入、卖出股指期货合约价值，合计（轧差计算）应当</w:t>
      </w:r>
      <w:r>
        <w:rPr>
          <w:rFonts w:ascii="宋体" w:hAnsi="宋体"/>
          <w:bCs/>
          <w:sz w:val="24"/>
        </w:rPr>
        <w:t>符合《基金合同》关于股票投资比例的有关约定</w:t>
      </w:r>
      <w:r>
        <w:rPr>
          <w:rFonts w:ascii="宋体" w:hAnsi="宋体" w:hint="eastAsia"/>
          <w:bCs/>
          <w:sz w:val="24"/>
        </w:rPr>
        <w:t>；</w:t>
      </w:r>
    </w:p>
    <w:p w14:paraId="02A4ADCE" w14:textId="77777777" w:rsidR="00DD2567" w:rsidRDefault="00680E4C">
      <w:pPr>
        <w:spacing w:line="360" w:lineRule="auto"/>
        <w:ind w:firstLineChars="200" w:firstLine="480"/>
        <w:rPr>
          <w:rFonts w:ascii="宋体" w:hAnsi="宋体"/>
          <w:bCs/>
          <w:sz w:val="24"/>
        </w:rPr>
      </w:pPr>
      <w:r>
        <w:rPr>
          <w:rFonts w:ascii="宋体" w:hAnsi="宋体" w:hint="eastAsia"/>
          <w:bCs/>
          <w:sz w:val="24"/>
        </w:rPr>
        <w:t>（18）基金在任何交易日日终，持有的买入股指期货合约价值，不得超过基金资产净值的10%；</w:t>
      </w:r>
    </w:p>
    <w:p w14:paraId="02AC5968" w14:textId="77777777" w:rsidR="00DD2567" w:rsidRDefault="00680E4C">
      <w:pPr>
        <w:spacing w:line="360" w:lineRule="auto"/>
        <w:ind w:firstLineChars="200" w:firstLine="480"/>
        <w:rPr>
          <w:rFonts w:ascii="宋体" w:hAnsi="宋体"/>
          <w:bCs/>
          <w:sz w:val="24"/>
        </w:rPr>
      </w:pPr>
      <w:r>
        <w:rPr>
          <w:rFonts w:ascii="宋体" w:hAnsi="宋体" w:hint="eastAsia"/>
          <w:bCs/>
          <w:sz w:val="24"/>
        </w:rPr>
        <w:t>（19）基金在任何交易日日终，持有的卖出股指期货合约价值不得超过基金持有的股票总市值的20%；</w:t>
      </w:r>
    </w:p>
    <w:p w14:paraId="28EEACA6" w14:textId="77777777" w:rsidR="00DD2567" w:rsidRDefault="00680E4C">
      <w:pPr>
        <w:spacing w:line="360" w:lineRule="auto"/>
        <w:ind w:firstLineChars="200" w:firstLine="480"/>
        <w:rPr>
          <w:rFonts w:ascii="宋体" w:hAnsi="宋体"/>
          <w:bCs/>
          <w:sz w:val="24"/>
        </w:rPr>
      </w:pPr>
      <w:r>
        <w:rPr>
          <w:rFonts w:ascii="宋体" w:hAnsi="宋体" w:hint="eastAsia"/>
          <w:bCs/>
          <w:sz w:val="24"/>
        </w:rPr>
        <w:t>（20）基金在任何交易日内交易（不包括平仓）的股指期货合约的成交金额不得超过上一交易日基金资产净值的20%；</w:t>
      </w:r>
    </w:p>
    <w:p w14:paraId="676219D0" w14:textId="77777777" w:rsidR="00DD2567" w:rsidRDefault="00680E4C">
      <w:pPr>
        <w:spacing w:line="360" w:lineRule="auto"/>
        <w:ind w:firstLineChars="200" w:firstLine="480"/>
        <w:rPr>
          <w:rFonts w:ascii="宋体" w:hAnsi="宋体"/>
          <w:bCs/>
          <w:sz w:val="24"/>
        </w:rPr>
      </w:pPr>
      <w:r>
        <w:rPr>
          <w:rFonts w:ascii="宋体" w:hAnsi="宋体" w:hint="eastAsia"/>
          <w:bCs/>
          <w:sz w:val="24"/>
        </w:rPr>
        <w:t>（21）在全国银行间同业市场中的债券回购最长期限为1年，债券回购到期后不得展期；</w:t>
      </w:r>
    </w:p>
    <w:p w14:paraId="39853DFE" w14:textId="77777777" w:rsidR="00DD2567" w:rsidRDefault="00680E4C">
      <w:pPr>
        <w:spacing w:line="360" w:lineRule="auto"/>
        <w:ind w:firstLineChars="200" w:firstLine="480"/>
        <w:rPr>
          <w:rFonts w:ascii="宋体" w:hAnsi="宋体"/>
          <w:bCs/>
          <w:sz w:val="24"/>
        </w:rPr>
      </w:pPr>
      <w:r>
        <w:rPr>
          <w:rFonts w:ascii="宋体" w:hAnsi="宋体" w:hint="eastAsia"/>
          <w:bCs/>
          <w:sz w:val="24"/>
        </w:rPr>
        <w:t>（22）</w:t>
      </w:r>
      <w:r>
        <w:rPr>
          <w:rFonts w:ascii="宋体" w:hAnsi="宋体" w:cs="Arial" w:hint="eastAsia"/>
          <w:sz w:val="24"/>
        </w:rPr>
        <w:t>本基金持有单只中小企业私募债券，其市值不得超过基金资产净值的10%；</w:t>
      </w:r>
    </w:p>
    <w:p w14:paraId="47A815A9" w14:textId="77777777" w:rsidR="00DD2567" w:rsidRDefault="00680E4C">
      <w:pPr>
        <w:spacing w:line="360" w:lineRule="auto"/>
        <w:ind w:firstLineChars="200" w:firstLine="480"/>
        <w:rPr>
          <w:rFonts w:ascii="宋体" w:hAnsi="宋体"/>
          <w:bCs/>
          <w:sz w:val="24"/>
        </w:rPr>
      </w:pPr>
      <w:r>
        <w:rPr>
          <w:rFonts w:ascii="宋体" w:hAnsi="宋体" w:hint="eastAsia"/>
          <w:bCs/>
          <w:sz w:val="24"/>
        </w:rPr>
        <w:t>（23）流通受限证券投资遵照《关于基金投资非公开发行股票等流通受限证券有关问题的通知》（证监基金字[2006]141号）及相关规定执行；</w:t>
      </w:r>
    </w:p>
    <w:p w14:paraId="1653CCD0" w14:textId="77777777" w:rsidR="00DD2567" w:rsidRDefault="00680E4C">
      <w:pPr>
        <w:spacing w:line="360" w:lineRule="auto"/>
        <w:ind w:firstLineChars="200" w:firstLine="480"/>
        <w:rPr>
          <w:rFonts w:ascii="宋体" w:hAnsi="宋体"/>
          <w:bCs/>
          <w:sz w:val="24"/>
        </w:rPr>
      </w:pPr>
      <w:r>
        <w:rPr>
          <w:rFonts w:ascii="宋体" w:hAnsi="宋体" w:hint="eastAsia"/>
          <w:bCs/>
          <w:sz w:val="24"/>
        </w:rPr>
        <w:t>（24）本基金的基金资产总值不得超过基金资产净值的140%；</w:t>
      </w:r>
    </w:p>
    <w:p w14:paraId="186DEA10" w14:textId="06A379F2" w:rsidR="00DD2567" w:rsidRDefault="00680E4C">
      <w:pPr>
        <w:spacing w:line="360" w:lineRule="auto"/>
        <w:ind w:firstLineChars="200" w:firstLine="480"/>
        <w:rPr>
          <w:rFonts w:ascii="宋体" w:hAnsi="宋体"/>
          <w:bCs/>
          <w:sz w:val="24"/>
        </w:rPr>
      </w:pPr>
      <w:r>
        <w:rPr>
          <w:rFonts w:ascii="宋体" w:hAnsi="宋体" w:hint="eastAsia"/>
          <w:bCs/>
          <w:sz w:val="24"/>
        </w:rPr>
        <w:t>（2</w:t>
      </w:r>
      <w:r w:rsidR="00420E08">
        <w:rPr>
          <w:rFonts w:ascii="宋体" w:hAnsi="宋体" w:hint="eastAsia"/>
          <w:bCs/>
          <w:sz w:val="24"/>
        </w:rPr>
        <w:t>5</w:t>
      </w:r>
      <w:r>
        <w:rPr>
          <w:rFonts w:ascii="宋体" w:hAnsi="宋体" w:hint="eastAsia"/>
          <w:bCs/>
          <w:sz w:val="24"/>
        </w:rPr>
        <w:t>）法律法规、《基金合同》规定的其他比例限制。</w:t>
      </w:r>
    </w:p>
    <w:p w14:paraId="4BB92EEB"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基金管理人应当自《基金合同》生效之日起6个月内使基金的投资组合比例符合《基金合同》的约定。</w:t>
      </w:r>
      <w:r>
        <w:rPr>
          <w:rFonts w:ascii="宋体" w:hAnsi="宋体" w:hint="eastAsia"/>
          <w:bCs/>
          <w:kern w:val="0"/>
          <w:sz w:val="24"/>
        </w:rPr>
        <w:t>在上述期间内，本基金的投资范围、投资策略应当符合基金合同的约定。</w:t>
      </w:r>
      <w:r>
        <w:rPr>
          <w:rFonts w:ascii="宋体" w:hAnsi="宋体"/>
          <w:kern w:val="0"/>
          <w:sz w:val="24"/>
        </w:rPr>
        <w:t>因证券</w:t>
      </w:r>
      <w:r>
        <w:rPr>
          <w:rFonts w:ascii="宋体" w:hAnsi="宋体" w:hint="eastAsia"/>
          <w:bCs/>
          <w:kern w:val="0"/>
          <w:sz w:val="24"/>
        </w:rPr>
        <w:t>或期货</w:t>
      </w:r>
      <w:r>
        <w:rPr>
          <w:rFonts w:ascii="宋体" w:hAnsi="宋体"/>
          <w:kern w:val="0"/>
          <w:sz w:val="24"/>
        </w:rPr>
        <w:t>市场波动、上市公司合并、基金规模变动等基金管理人之外的因素致使基金投资不符合《基金合同》约定的投资比例</w:t>
      </w:r>
      <w:r>
        <w:rPr>
          <w:rFonts w:ascii="宋体" w:hAnsi="宋体" w:hint="eastAsia"/>
          <w:kern w:val="0"/>
          <w:sz w:val="24"/>
        </w:rPr>
        <w:t>规定</w:t>
      </w:r>
      <w:r>
        <w:rPr>
          <w:rFonts w:ascii="宋体" w:hAnsi="宋体"/>
          <w:kern w:val="0"/>
          <w:sz w:val="24"/>
        </w:rPr>
        <w:t>的，基金管理人应当在</w:t>
      </w:r>
      <w:r>
        <w:rPr>
          <w:rFonts w:ascii="宋体" w:hAnsi="宋体" w:hint="eastAsia"/>
          <w:kern w:val="0"/>
          <w:sz w:val="24"/>
        </w:rPr>
        <w:t>10</w:t>
      </w:r>
      <w:r>
        <w:rPr>
          <w:rFonts w:ascii="宋体" w:hAnsi="宋体"/>
          <w:kern w:val="0"/>
          <w:sz w:val="24"/>
        </w:rPr>
        <w:t>个</w:t>
      </w:r>
      <w:r>
        <w:rPr>
          <w:rFonts w:ascii="宋体" w:hAnsi="宋体" w:hint="eastAsia"/>
          <w:kern w:val="0"/>
          <w:sz w:val="24"/>
        </w:rPr>
        <w:t>工作</w:t>
      </w:r>
      <w:r>
        <w:rPr>
          <w:rFonts w:ascii="宋体" w:hAnsi="宋体"/>
          <w:kern w:val="0"/>
          <w:sz w:val="24"/>
        </w:rPr>
        <w:t>日内进行调整</w:t>
      </w:r>
      <w:r>
        <w:rPr>
          <w:rFonts w:ascii="宋体" w:hAnsi="宋体" w:hint="eastAsia"/>
          <w:bCs/>
          <w:kern w:val="0"/>
          <w:sz w:val="24"/>
        </w:rPr>
        <w:t>，但中国证监会规定的特殊情形除外。法律法规另有规定的，从其规定</w:t>
      </w:r>
      <w:r>
        <w:rPr>
          <w:rFonts w:ascii="宋体" w:hAnsi="宋体"/>
          <w:kern w:val="0"/>
          <w:sz w:val="24"/>
        </w:rPr>
        <w:t>。</w:t>
      </w:r>
      <w:r>
        <w:rPr>
          <w:rFonts w:ascii="宋体" w:hAnsi="宋体" w:hint="eastAsia"/>
          <w:kern w:val="0"/>
          <w:sz w:val="24"/>
        </w:rPr>
        <w:t>法律法规或监管部门修改或取消上述限制规定</w:t>
      </w:r>
      <w:r>
        <w:rPr>
          <w:rFonts w:ascii="宋体" w:hAnsi="宋体" w:hint="eastAsia"/>
          <w:kern w:val="0"/>
          <w:sz w:val="24"/>
        </w:rPr>
        <w:lastRenderedPageBreak/>
        <w:t>时，本基金不受上述投资组合限制并相应修改其投资组合限制规定。</w:t>
      </w:r>
    </w:p>
    <w:p w14:paraId="1A49D5AD"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基金托管人依照上述规定对本基金的投资组合限制及调整期限进行监督。</w:t>
      </w:r>
    </w:p>
    <w:p w14:paraId="1D96FB55" w14:textId="4889F708"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基金托管人发现基金管理人的投资有超出有关法律法规的规定及《基金合同》的约定的基金投资比例限制的行为，应及时以书面形式通知基金管理人在</w:t>
      </w:r>
      <w:r>
        <w:rPr>
          <w:rFonts w:ascii="宋体" w:hAnsi="宋体"/>
          <w:kern w:val="0"/>
          <w:sz w:val="24"/>
        </w:rPr>
        <w:t>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w:t>
      </w:r>
    </w:p>
    <w:p w14:paraId="4434A92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3、基金托管人</w:t>
      </w:r>
      <w:bookmarkStart w:id="427" w:name="OLE_LINK1"/>
      <w:r>
        <w:rPr>
          <w:rFonts w:ascii="宋体" w:hAnsi="宋体" w:hint="eastAsia"/>
          <w:kern w:val="0"/>
          <w:sz w:val="24"/>
        </w:rPr>
        <w:t>根据有关法律法规的规定及《基金合同》和本协议的约定，</w:t>
      </w:r>
      <w:bookmarkEnd w:id="427"/>
      <w:r>
        <w:rPr>
          <w:rFonts w:ascii="宋体" w:hAnsi="宋体" w:hint="eastAsia"/>
          <w:kern w:val="0"/>
          <w:sz w:val="24"/>
        </w:rPr>
        <w:t>对基金投资禁止行为进行监督。基金财产不得用于下列投资或者活动。</w:t>
      </w:r>
    </w:p>
    <w:p w14:paraId="334AC6C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（1）承销证券；</w:t>
      </w:r>
    </w:p>
    <w:p w14:paraId="56B90A00"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（2）违反规定向他人贷款或者提供担保；</w:t>
      </w:r>
    </w:p>
    <w:p w14:paraId="13C17AF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（3）从事承担无限责任的投资；</w:t>
      </w:r>
    </w:p>
    <w:p w14:paraId="00963A5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（4）买卖其他基金份额，但是中国证监会另有规定的除外；</w:t>
      </w:r>
    </w:p>
    <w:p w14:paraId="1E488CF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（5）向本基金的基金管理人、基金托管人出资；</w:t>
      </w:r>
    </w:p>
    <w:p w14:paraId="6055DC5E"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（6）</w:t>
      </w:r>
      <w:r>
        <w:rPr>
          <w:rFonts w:ascii="宋体" w:hAnsi="宋体"/>
          <w:bCs/>
          <w:sz w:val="24"/>
        </w:rPr>
        <w:t>从事内幕交易、操纵</w:t>
      </w:r>
      <w:r>
        <w:rPr>
          <w:rFonts w:ascii="宋体" w:hAnsi="宋体"/>
          <w:sz w:val="24"/>
        </w:rPr>
        <w:t>证券</w:t>
      </w:r>
      <w:r>
        <w:rPr>
          <w:rFonts w:ascii="宋体" w:hAnsi="宋体"/>
          <w:bCs/>
          <w:sz w:val="24"/>
        </w:rPr>
        <w:t>交易价格及其他不正当</w:t>
      </w:r>
      <w:r>
        <w:rPr>
          <w:rFonts w:ascii="宋体" w:hAnsi="宋体"/>
          <w:sz w:val="24"/>
        </w:rPr>
        <w:t>的证券</w:t>
      </w:r>
      <w:r>
        <w:rPr>
          <w:rFonts w:ascii="宋体" w:hAnsi="宋体"/>
          <w:bCs/>
          <w:sz w:val="24"/>
        </w:rPr>
        <w:t>交易活动</w:t>
      </w:r>
      <w:r>
        <w:rPr>
          <w:rFonts w:ascii="宋体" w:hAnsi="宋体" w:hint="eastAsia"/>
          <w:kern w:val="0"/>
          <w:sz w:val="24"/>
        </w:rPr>
        <w:t>；</w:t>
      </w:r>
    </w:p>
    <w:p w14:paraId="58F3DD4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（7）依照法律、行政法规有关规定，由中国证监会规定禁止的其他活动。</w:t>
      </w:r>
    </w:p>
    <w:p w14:paraId="1E7D985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如法律法规或监管部门取消上述禁止性规定，基金管理人在履行适当程序后可不受上述规定的限制。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w:t>
      </w:r>
      <w:r>
        <w:rPr>
          <w:rFonts w:ascii="宋体" w:hAnsi="宋体"/>
          <w:kern w:val="0"/>
          <w:sz w:val="24"/>
        </w:rPr>
        <w:t>经过</w:t>
      </w:r>
      <w:r>
        <w:rPr>
          <w:rFonts w:ascii="宋体" w:hAnsi="宋体" w:hint="eastAsia"/>
          <w:kern w:val="0"/>
          <w:sz w:val="24"/>
        </w:rPr>
        <w:t>三分之二</w:t>
      </w:r>
      <w:r>
        <w:rPr>
          <w:rFonts w:ascii="宋体" w:hAnsi="宋体"/>
          <w:kern w:val="0"/>
          <w:sz w:val="24"/>
        </w:rPr>
        <w:t>以上的独立董事通过</w:t>
      </w:r>
      <w:r>
        <w:rPr>
          <w:rFonts w:ascii="宋体" w:hAnsi="宋体" w:hint="eastAsia"/>
          <w:kern w:val="0"/>
          <w:sz w:val="24"/>
        </w:rPr>
        <w:t>。</w:t>
      </w:r>
      <w:r>
        <w:rPr>
          <w:rFonts w:ascii="宋体" w:hAnsi="宋体" w:hint="eastAsia"/>
          <w:bCs/>
          <w:kern w:val="0"/>
          <w:sz w:val="24"/>
        </w:rPr>
        <w:t>基金管理人董事会应至少每半年对关联交易事项进行审查。</w:t>
      </w:r>
    </w:p>
    <w:p w14:paraId="534ABC8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基金托管人发现基金管理人有以上投资禁止行为的，应及时以书面形式通知基金管理人在</w:t>
      </w:r>
      <w:r>
        <w:rPr>
          <w:rFonts w:ascii="宋体" w:hAnsi="宋体"/>
          <w:kern w:val="0"/>
          <w:sz w:val="24"/>
        </w:rPr>
        <w:t>10个工作日内纠正。基金管理人对基金托管人通知的违规事项未能在10个工作日内纠正的，基金托管人应报告中国证监会。基金托管人发现基金管理人有重大违规行为，应立即报告中国证监会，同时通知基金管理人在10</w:t>
      </w:r>
      <w:r>
        <w:rPr>
          <w:rFonts w:ascii="宋体" w:hAnsi="宋体"/>
          <w:kern w:val="0"/>
          <w:sz w:val="24"/>
        </w:rPr>
        <w:lastRenderedPageBreak/>
        <w:t>个工作日内纠正。</w:t>
      </w:r>
    </w:p>
    <w:p w14:paraId="752FE008" w14:textId="77777777" w:rsidR="00DD2567" w:rsidRDefault="00680E4C">
      <w:pPr>
        <w:spacing w:line="360" w:lineRule="auto"/>
        <w:ind w:firstLineChars="200" w:firstLine="480"/>
        <w:rPr>
          <w:rFonts w:ascii="宋体" w:hAnsi="宋体"/>
          <w:kern w:val="0"/>
          <w:sz w:val="24"/>
        </w:rPr>
      </w:pPr>
      <w:bookmarkStart w:id="428" w:name="OLE_LINK2"/>
      <w:bookmarkStart w:id="429" w:name="OLE_LINK4"/>
      <w:r>
        <w:rPr>
          <w:rFonts w:ascii="宋体" w:hAnsi="宋体" w:hint="eastAsia"/>
          <w:kern w:val="0"/>
          <w:sz w:val="24"/>
        </w:rPr>
        <w:t>4、基金托管人根据有关法律法规的规定及《基金合同》和本协议的约定，对基金管理人参与银行间债券市场进行监督。</w:t>
      </w:r>
    </w:p>
    <w:bookmarkEnd w:id="428"/>
    <w:bookmarkEnd w:id="429"/>
    <w:p w14:paraId="48B2944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（1）基金托管人依据有关法律法规的规定和《基金合同》的约定对于基金管理人参与银行间市场交易时面临的交易对手资信风险进行监督。</w:t>
      </w:r>
    </w:p>
    <w:p w14:paraId="05F068D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基金管理人向基金托管人提供符合法律法规及行业标准的银行间市场交易对手的名单。基金托管人在收到名单后</w:t>
      </w:r>
      <w:r>
        <w:rPr>
          <w:rFonts w:ascii="宋体" w:hAnsi="宋体"/>
          <w:kern w:val="0"/>
          <w:sz w:val="24"/>
        </w:rPr>
        <w:t>2</w:t>
      </w:r>
      <w:r>
        <w:rPr>
          <w:rFonts w:ascii="宋体" w:hAnsi="宋体" w:hint="eastAsia"/>
          <w:kern w:val="0"/>
          <w:sz w:val="24"/>
        </w:rPr>
        <w:t>个工作日内电话或回函确认收到该名单。基金管理人应定期和不定期对银行间市场现券及回购交易对手的名单进行更新。基金托管人在收到名单后2个工作日内电话或书面回函确认，新名单自基金托管人确认当日生效。新名单生效前已与本次剔除的交易对手所进行但尚未结算的交易，仍应按照协议进行结算。</w:t>
      </w:r>
    </w:p>
    <w:p w14:paraId="72F337F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（2）基金管理人参与银行间市场交易时，有责任控制交易对手的资信风险，由于交易对手资信风险引起的损失，基金管理人应当负责向相关责任人追偿。</w:t>
      </w:r>
    </w:p>
    <w:p w14:paraId="77B76847" w14:textId="77777777" w:rsidR="00DD2567" w:rsidRDefault="00680E4C">
      <w:pPr>
        <w:adjustRightInd w:val="0"/>
        <w:snapToGrid w:val="0"/>
        <w:spacing w:line="360" w:lineRule="auto"/>
        <w:ind w:firstLineChars="200" w:firstLine="480"/>
        <w:rPr>
          <w:rFonts w:ascii="宋体" w:hAnsi="宋体" w:cs="Arial"/>
          <w:color w:val="000000"/>
          <w:sz w:val="24"/>
        </w:rPr>
      </w:pPr>
      <w:r>
        <w:rPr>
          <w:rFonts w:ascii="宋体" w:hAnsi="宋体" w:hint="eastAsia"/>
          <w:kern w:val="0"/>
          <w:sz w:val="24"/>
        </w:rPr>
        <w:t>5、</w:t>
      </w:r>
      <w:r>
        <w:rPr>
          <w:rFonts w:ascii="宋体" w:hAnsi="宋体" w:cs="Arial" w:hint="eastAsia"/>
          <w:color w:val="000000"/>
          <w:sz w:val="24"/>
        </w:rPr>
        <w:t>基金托管人根据有关法律法规的规定及基金合同的约定，对基金管理人投资中小企业私募债进行监督。</w:t>
      </w:r>
    </w:p>
    <w:p w14:paraId="522872BD" w14:textId="77777777" w:rsidR="00DD2567" w:rsidRDefault="00680E4C">
      <w:pPr>
        <w:adjustRightInd w:val="0"/>
        <w:snapToGrid w:val="0"/>
        <w:spacing w:line="350" w:lineRule="auto"/>
        <w:ind w:firstLineChars="200" w:firstLine="480"/>
        <w:rPr>
          <w:rFonts w:ascii="宋体" w:hAnsi="宋体" w:cs="Arial"/>
          <w:color w:val="000000"/>
          <w:sz w:val="24"/>
        </w:rPr>
      </w:pPr>
      <w:r>
        <w:rPr>
          <w:rFonts w:ascii="宋体" w:hAnsi="宋体" w:cs="Arial" w:hint="eastAsia"/>
          <w:color w:val="000000"/>
          <w:sz w:val="24"/>
        </w:rPr>
        <w:t>基金管理人根据法律、法规、监管部门的规定，本着审慎、勤勉尽责的原则，针对中小企业私募债券的投资，制定了相关风险控制制度及决策流程，以规范对中小企业私募债券的投资决策流程、风险控制，并与基金托管人签订《基金投资中小企业私募债风险控制补充协议》。</w:t>
      </w:r>
    </w:p>
    <w:p w14:paraId="74C69BBE" w14:textId="77777777" w:rsidR="00DD2567" w:rsidRDefault="00680E4C">
      <w:pPr>
        <w:adjustRightInd w:val="0"/>
        <w:snapToGrid w:val="0"/>
        <w:spacing w:line="350" w:lineRule="auto"/>
        <w:ind w:firstLineChars="200" w:firstLine="480"/>
        <w:rPr>
          <w:rFonts w:ascii="宋体" w:hAnsi="宋体" w:cs="Arial"/>
          <w:color w:val="000000"/>
          <w:sz w:val="24"/>
        </w:rPr>
      </w:pPr>
      <w:r>
        <w:rPr>
          <w:rFonts w:ascii="宋体" w:hAnsi="宋体" w:cs="Arial" w:hint="eastAsia"/>
          <w:color w:val="000000"/>
          <w:sz w:val="24"/>
        </w:rPr>
        <w:t>基金管理人已将经董事会批准的相应风险控制制度及决策流程提供给基金托管人，若基金管理人对相关制度进行修订，应及时提供给基金托管人。基金托管人应依据届时有效的制度文件及基金合同、本托管协议的约定，对基金管理人投资中小企业私募债券是否遵守相关制度、决策流程、流动性风险处置预案以及相关投资额度和投资比例、投资限制进行监督。</w:t>
      </w:r>
    </w:p>
    <w:p w14:paraId="0251B520" w14:textId="77777777" w:rsidR="00DD2567" w:rsidRDefault="00680E4C">
      <w:pPr>
        <w:spacing w:line="360" w:lineRule="auto"/>
        <w:ind w:firstLineChars="200" w:firstLine="480"/>
        <w:rPr>
          <w:rFonts w:ascii="宋体" w:hAnsi="宋体"/>
          <w:kern w:val="0"/>
          <w:sz w:val="24"/>
        </w:rPr>
      </w:pPr>
      <w:r>
        <w:rPr>
          <w:rFonts w:ascii="宋体" w:hAnsi="宋体" w:cs="Arial" w:hint="eastAsia"/>
          <w:color w:val="000000"/>
          <w:sz w:val="24"/>
        </w:rPr>
        <w:t>如今后法律法规对基金投资中小企业私募债券另有规定的，从其规定。</w:t>
      </w:r>
    </w:p>
    <w:p w14:paraId="139E2BB9"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6、基金托管人根据有关法律法规的规定及《基金合同》和本协议的约定，对基金管理人选择存款银行进行监督。</w:t>
      </w:r>
    </w:p>
    <w:p w14:paraId="36001A4C"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3CFDA808"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lastRenderedPageBreak/>
        <w:t>本基金投资银行存款应符合如下规定：</w:t>
      </w:r>
    </w:p>
    <w:p w14:paraId="6A240D40"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（1）基金管理人、基金托管人应当与存款银行建立定期对账机制，确保基金银行存款业务账目及核算的真实、准确。</w:t>
      </w:r>
    </w:p>
    <w:p w14:paraId="041D41FF"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保护基金份额持有人的合法权益。</w:t>
      </w:r>
    </w:p>
    <w:p w14:paraId="71797CC5"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（3）基金托管人应加强对基金银行存款业务的监督与核查，严格审查、复核相关协议、账户资料、投资指令、存款证实书等有关文件，切实履行托管职责。</w:t>
      </w:r>
    </w:p>
    <w:p w14:paraId="5CB4870D"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（4）基金管理人与基金托管人在开展基金存款业务时，应严格遵守《基金法》、《运作办法》等有关法律法规，以及国家有关账户管理、利率管理、支付结算等的各项规定。</w:t>
      </w:r>
    </w:p>
    <w:p w14:paraId="14ADF6BC"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基金托管人发现基金管理人在选择存款银行时有违反有关法律法规的规定及《基金合同》的约定的行为，应及时以书面形式通知基金管理人在</w:t>
      </w:r>
      <w:r>
        <w:rPr>
          <w:rFonts w:ascii="宋体" w:hAnsi="宋体"/>
          <w:kern w:val="0"/>
          <w:sz w:val="24"/>
        </w:rPr>
        <w:t xml:space="preserve">10 </w:t>
      </w:r>
      <w:r>
        <w:rPr>
          <w:rFonts w:ascii="宋体" w:hAnsi="宋体" w:hint="eastAsia"/>
          <w:kern w:val="0"/>
          <w:sz w:val="24"/>
        </w:rPr>
        <w:t>个工作日内纠正。基金管理人对基金托管人通知的违规事项未能在</w:t>
      </w:r>
      <w:r>
        <w:rPr>
          <w:rFonts w:ascii="宋体" w:hAnsi="宋体"/>
          <w:kern w:val="0"/>
          <w:sz w:val="24"/>
        </w:rPr>
        <w:t xml:space="preserve">10 </w:t>
      </w:r>
      <w:r>
        <w:rPr>
          <w:rFonts w:ascii="宋体" w:hAnsi="宋体" w:hint="eastAsia"/>
          <w:kern w:val="0"/>
          <w:sz w:val="24"/>
        </w:rPr>
        <w:t>个工作日内纠正的，基金托管人应报告中国证监会。基金托管人发现基金管理人有重大违规行为，应立即报告中国证监会，同时通知基金管理人在</w:t>
      </w:r>
      <w:r>
        <w:rPr>
          <w:rFonts w:ascii="宋体" w:hAnsi="宋体"/>
          <w:kern w:val="0"/>
          <w:sz w:val="24"/>
        </w:rPr>
        <w:t xml:space="preserve">10 </w:t>
      </w:r>
      <w:r>
        <w:rPr>
          <w:rFonts w:ascii="宋体" w:hAnsi="宋体" w:hint="eastAsia"/>
          <w:kern w:val="0"/>
          <w:sz w:val="24"/>
        </w:rPr>
        <w:t>个工作日内纠正或拒绝结算。</w:t>
      </w:r>
    </w:p>
    <w:p w14:paraId="70DF4B2F"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7、基金托管人对基金投资流通受限证券的监督</w:t>
      </w:r>
    </w:p>
    <w:p w14:paraId="41542F74"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（1）</w:t>
      </w:r>
      <w:r>
        <w:rPr>
          <w:rFonts w:ascii="宋体" w:hAnsi="宋体"/>
          <w:kern w:val="0"/>
          <w:sz w:val="24"/>
        </w:rPr>
        <w:t>基金投资流通受限证券，应遵守《关于规范基金投资非公开发行证券行为的紧急通知》</w:t>
      </w:r>
      <w:r>
        <w:rPr>
          <w:rFonts w:ascii="宋体" w:hAnsi="宋体" w:hint="eastAsia"/>
          <w:kern w:val="0"/>
          <w:sz w:val="24"/>
        </w:rPr>
        <w:t>、</w:t>
      </w:r>
      <w:r>
        <w:rPr>
          <w:rFonts w:ascii="宋体" w:hAnsi="宋体"/>
          <w:kern w:val="0"/>
          <w:sz w:val="24"/>
        </w:rPr>
        <w:t>《关于基金投资非公开发行股票等流通受限证券有关问题的通知》等有关法律法规规定</w:t>
      </w:r>
      <w:r>
        <w:rPr>
          <w:rFonts w:ascii="宋体" w:hAnsi="宋体" w:hint="eastAsia"/>
          <w:kern w:val="0"/>
          <w:sz w:val="24"/>
        </w:rPr>
        <w:t>，并与基金托管人签订《基金投资非公开发行股票等流通受限证券风险控制补充协议》</w:t>
      </w:r>
      <w:r>
        <w:rPr>
          <w:rFonts w:ascii="宋体" w:hAnsi="宋体"/>
          <w:kern w:val="0"/>
          <w:sz w:val="24"/>
        </w:rPr>
        <w:t>。</w:t>
      </w:r>
    </w:p>
    <w:p w14:paraId="55AD45D6"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（2）</w:t>
      </w:r>
      <w:r>
        <w:rPr>
          <w:rFonts w:ascii="宋体" w:hAnsi="宋体"/>
          <w:kern w:val="0"/>
          <w:sz w:val="24"/>
        </w:rPr>
        <w:t>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735D14A1"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（3）</w:t>
      </w:r>
      <w:r>
        <w:rPr>
          <w:rFonts w:ascii="宋体" w:hAnsi="宋体"/>
          <w:kern w:val="0"/>
          <w:sz w:val="24"/>
        </w:rPr>
        <w:t>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 基金管理人应至少于首次执行投资指令之前两个工作日将上述资料书面发至基金托管人，保证基金托管人有足够的时间进行审核。基</w:t>
      </w:r>
      <w:r>
        <w:rPr>
          <w:rFonts w:ascii="宋体" w:hAnsi="宋体"/>
          <w:kern w:val="0"/>
          <w:sz w:val="24"/>
        </w:rPr>
        <w:lastRenderedPageBreak/>
        <w:t>金托管人应在收到上述资料后两个工作日内，以书面或其他双方认可的方式确认收到上述资料。</w:t>
      </w:r>
    </w:p>
    <w:p w14:paraId="54ED6849"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（4）</w:t>
      </w:r>
      <w:r>
        <w:rPr>
          <w:rFonts w:ascii="宋体" w:hAnsi="宋体"/>
          <w:kern w:val="0"/>
          <w:sz w:val="24"/>
        </w:rPr>
        <w:t>基金投资流通受限证券前，基金管理人应向基金托管人提供符合法律法规要求的有关书面信息</w:t>
      </w:r>
      <w:r>
        <w:rPr>
          <w:rFonts w:ascii="宋体" w:hAnsi="宋体" w:hint="eastAsia"/>
          <w:kern w:val="0"/>
          <w:sz w:val="24"/>
        </w:rPr>
        <w:t>（确不适用或基金管理人无法取得的除外）</w:t>
      </w:r>
      <w:r>
        <w:rPr>
          <w:rFonts w:ascii="宋体" w:hAnsi="宋体"/>
          <w:kern w:val="0"/>
          <w:sz w:val="24"/>
        </w:rPr>
        <w:t>，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于拟执行投资指令前两个工作日将上述信息书面发至基金托管人，保证基金托管人有足够的时间进行审核</w:t>
      </w:r>
      <w:r>
        <w:rPr>
          <w:rFonts w:ascii="宋体" w:hAnsi="宋体" w:hint="eastAsia"/>
          <w:kern w:val="0"/>
          <w:sz w:val="24"/>
        </w:rPr>
        <w:t>。</w:t>
      </w:r>
    </w:p>
    <w:p w14:paraId="32C6A5D7"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（5）</w:t>
      </w:r>
      <w:r>
        <w:rPr>
          <w:rFonts w:ascii="宋体" w:hAnsi="宋体"/>
          <w:kern w:val="0"/>
          <w:sz w:val="24"/>
        </w:rPr>
        <w:t>基金托管人应对基金管理人提供的有关书面信息</w:t>
      </w:r>
      <w:r>
        <w:rPr>
          <w:rFonts w:ascii="宋体" w:hAnsi="宋体" w:hint="eastAsia"/>
          <w:kern w:val="0"/>
          <w:sz w:val="24"/>
        </w:rPr>
        <w:t>进行审核，</w:t>
      </w:r>
      <w:r>
        <w:rPr>
          <w:rFonts w:ascii="宋体" w:hAnsi="宋体"/>
          <w:kern w:val="0"/>
          <w:sz w:val="24"/>
        </w:rPr>
        <w:t>基金托管人认为上述资料可能导致基金</w:t>
      </w:r>
      <w:r>
        <w:rPr>
          <w:rFonts w:ascii="宋体" w:hAnsi="宋体" w:hint="eastAsia"/>
          <w:kern w:val="0"/>
          <w:sz w:val="24"/>
        </w:rPr>
        <w:t>投资</w:t>
      </w:r>
      <w:r>
        <w:rPr>
          <w:rFonts w:ascii="宋体" w:hAnsi="宋体"/>
          <w:kern w:val="0"/>
          <w:sz w:val="24"/>
        </w:rPr>
        <w:t>出现风险的，有权要求基金管理人在投资流通受限证券前就该风险的消除或防范措施进行补充书面说明，并保留查看基金管理人风险管理部门就</w:t>
      </w:r>
      <w:r>
        <w:rPr>
          <w:rFonts w:ascii="宋体" w:hAnsi="宋体" w:hint="eastAsia"/>
          <w:kern w:val="0"/>
          <w:sz w:val="24"/>
        </w:rPr>
        <w:t>本</w:t>
      </w:r>
      <w:r>
        <w:rPr>
          <w:rFonts w:ascii="宋体" w:hAnsi="宋体"/>
          <w:kern w:val="0"/>
          <w:sz w:val="24"/>
        </w:rPr>
        <w:t>基金投资流通受限证券出具的风险评估报告等备查资料的权利。否则，基金托管人有权拒绝执行有关指令。因</w:t>
      </w:r>
      <w:r>
        <w:rPr>
          <w:rFonts w:ascii="宋体" w:hAnsi="宋体" w:hint="eastAsia"/>
          <w:kern w:val="0"/>
          <w:sz w:val="24"/>
        </w:rPr>
        <w:t>在上述情形下</w:t>
      </w:r>
      <w:r>
        <w:rPr>
          <w:rFonts w:ascii="宋体" w:hAnsi="宋体"/>
          <w:kern w:val="0"/>
          <w:sz w:val="24"/>
        </w:rPr>
        <w:t>拒绝执行该指令造成基金财产损失的，基金托管人不承担任何责任，并有权报告中国证监会。</w:t>
      </w:r>
    </w:p>
    <w:p w14:paraId="09D50379" w14:textId="77777777" w:rsidR="00DD2567" w:rsidRDefault="00680E4C">
      <w:pPr>
        <w:spacing w:line="336" w:lineRule="auto"/>
        <w:ind w:firstLineChars="200" w:firstLine="480"/>
        <w:rPr>
          <w:rFonts w:ascii="宋体" w:hAnsi="宋体"/>
          <w:kern w:val="0"/>
          <w:sz w:val="24"/>
        </w:rPr>
      </w:pPr>
      <w:r>
        <w:rPr>
          <w:rFonts w:ascii="宋体" w:hAnsi="宋体"/>
          <w:kern w:val="0"/>
          <w:sz w:val="24"/>
        </w:rPr>
        <w:t>如基金管理人和基金托管人无法达成一致，应及时上报中国证监会请求解决。如果基金托管人切实履行监督职责，则不承担任何责任。</w:t>
      </w:r>
    </w:p>
    <w:p w14:paraId="4BF2EEAE" w14:textId="77777777" w:rsidR="00DD2567" w:rsidRDefault="00680E4C">
      <w:pPr>
        <w:spacing w:line="336" w:lineRule="auto"/>
        <w:ind w:firstLineChars="200" w:firstLine="480"/>
        <w:rPr>
          <w:rFonts w:ascii="宋体" w:hAnsi="宋体"/>
          <w:bCs/>
          <w:sz w:val="24"/>
        </w:rPr>
      </w:pPr>
      <w:r>
        <w:rPr>
          <w:rFonts w:ascii="宋体" w:hAnsi="宋体" w:hint="eastAsia"/>
          <w:sz w:val="24"/>
        </w:rPr>
        <w:t>8</w:t>
      </w:r>
      <w:r>
        <w:rPr>
          <w:rFonts w:ascii="宋体" w:hAnsi="宋体" w:hint="eastAsia"/>
          <w:bCs/>
          <w:sz w:val="24"/>
        </w:rPr>
        <w:t>、基金托管人对基金投资中期票据的监督</w:t>
      </w:r>
    </w:p>
    <w:p w14:paraId="41BB6C1E" w14:textId="77777777" w:rsidR="00DD2567" w:rsidRDefault="00680E4C">
      <w:pPr>
        <w:tabs>
          <w:tab w:val="left" w:pos="1260"/>
        </w:tabs>
        <w:spacing w:line="336" w:lineRule="auto"/>
        <w:ind w:firstLineChars="200" w:firstLine="480"/>
        <w:rPr>
          <w:rFonts w:ascii="宋体" w:hAnsi="宋体"/>
          <w:sz w:val="24"/>
        </w:rPr>
      </w:pPr>
      <w:r>
        <w:rPr>
          <w:rFonts w:ascii="宋体" w:hAnsi="宋体" w:hint="eastAsia"/>
          <w:sz w:val="24"/>
        </w:rPr>
        <w:t>（1）基金投资中期票据应遵守</w:t>
      </w:r>
      <w:r>
        <w:rPr>
          <w:rFonts w:ascii="宋体" w:hAnsi="宋体"/>
          <w:sz w:val="24"/>
        </w:rPr>
        <w:t>《关于</w:t>
      </w:r>
      <w:r>
        <w:rPr>
          <w:rFonts w:ascii="宋体" w:hAnsi="宋体" w:hint="eastAsia"/>
          <w:sz w:val="24"/>
        </w:rPr>
        <w:t>证券投资</w:t>
      </w:r>
      <w:r>
        <w:rPr>
          <w:rFonts w:ascii="宋体" w:hAnsi="宋体"/>
          <w:sz w:val="24"/>
        </w:rPr>
        <w:t>基金投资</w:t>
      </w:r>
      <w:r>
        <w:rPr>
          <w:rFonts w:ascii="宋体" w:hAnsi="宋体" w:hint="eastAsia"/>
          <w:sz w:val="24"/>
        </w:rPr>
        <w:t>中期票据</w:t>
      </w:r>
      <w:r>
        <w:rPr>
          <w:rFonts w:ascii="宋体" w:hAnsi="宋体"/>
          <w:sz w:val="24"/>
        </w:rPr>
        <w:t>有关问题的通知》</w:t>
      </w:r>
      <w:r>
        <w:rPr>
          <w:rFonts w:ascii="宋体" w:hAnsi="宋体" w:hint="eastAsia"/>
          <w:sz w:val="24"/>
        </w:rPr>
        <w:t>等有关法律法规的规定，并与资产托管人签订《基金投资中期票据风险控制补充协议》。</w:t>
      </w:r>
    </w:p>
    <w:p w14:paraId="4E2F8BBF" w14:textId="77777777" w:rsidR="00DD2567" w:rsidRDefault="00680E4C">
      <w:pPr>
        <w:tabs>
          <w:tab w:val="left" w:pos="1260"/>
        </w:tabs>
        <w:spacing w:line="336" w:lineRule="auto"/>
        <w:ind w:firstLineChars="200" w:firstLine="480"/>
        <w:rPr>
          <w:rFonts w:ascii="宋体" w:hAnsi="宋体"/>
          <w:sz w:val="24"/>
        </w:rPr>
      </w:pPr>
      <w:r>
        <w:rPr>
          <w:rFonts w:ascii="宋体" w:hAnsi="宋体" w:hint="eastAsia"/>
          <w:sz w:val="24"/>
        </w:rPr>
        <w:t>（2）基金管理人应将</w:t>
      </w:r>
      <w:r>
        <w:rPr>
          <w:rFonts w:ascii="宋体" w:hAnsi="宋体"/>
          <w:sz w:val="24"/>
        </w:rPr>
        <w:t>经董事会批准</w:t>
      </w:r>
      <w:r>
        <w:rPr>
          <w:rFonts w:ascii="宋体" w:hAnsi="宋体" w:hint="eastAsia"/>
          <w:sz w:val="24"/>
        </w:rPr>
        <w:t>的</w:t>
      </w:r>
      <w:r>
        <w:rPr>
          <w:rFonts w:ascii="宋体" w:hAnsi="宋体"/>
          <w:sz w:val="24"/>
        </w:rPr>
        <w:t>相关投资决策流程、风险控制制度</w:t>
      </w:r>
      <w:r>
        <w:rPr>
          <w:rFonts w:ascii="宋体" w:hAnsi="宋体" w:hint="eastAsia"/>
          <w:sz w:val="24"/>
        </w:rPr>
        <w:t>以及</w:t>
      </w:r>
      <w:r>
        <w:rPr>
          <w:rFonts w:ascii="宋体" w:hAnsi="宋体"/>
          <w:sz w:val="24"/>
        </w:rPr>
        <w:t>基金投资</w:t>
      </w:r>
      <w:r>
        <w:rPr>
          <w:rFonts w:ascii="宋体" w:hAnsi="宋体" w:hint="eastAsia"/>
          <w:sz w:val="24"/>
        </w:rPr>
        <w:t>中期票据</w:t>
      </w:r>
      <w:r>
        <w:rPr>
          <w:rFonts w:ascii="宋体" w:hAnsi="宋体"/>
          <w:sz w:val="24"/>
        </w:rPr>
        <w:t>相关流动性风险处置预案</w:t>
      </w:r>
      <w:r>
        <w:rPr>
          <w:rFonts w:ascii="宋体" w:hAnsi="宋体" w:hint="eastAsia"/>
          <w:sz w:val="24"/>
        </w:rPr>
        <w:t>提供给资产托管人，资产托管人</w:t>
      </w:r>
      <w:r>
        <w:rPr>
          <w:rFonts w:ascii="宋体" w:hAnsi="宋体"/>
          <w:sz w:val="24"/>
        </w:rPr>
        <w:t>对</w:t>
      </w:r>
      <w:r>
        <w:rPr>
          <w:rFonts w:ascii="宋体" w:hAnsi="宋体" w:hint="eastAsia"/>
          <w:sz w:val="24"/>
        </w:rPr>
        <w:t>资产管理人</w:t>
      </w:r>
      <w:r>
        <w:rPr>
          <w:rFonts w:ascii="宋体" w:hAnsi="宋体"/>
          <w:sz w:val="24"/>
        </w:rPr>
        <w:t>是否遵守相关制度、流动性风险处置预案以及相关投资额度和比例的情况进行监督。</w:t>
      </w:r>
    </w:p>
    <w:p w14:paraId="1110F7DB" w14:textId="77777777" w:rsidR="00DD2567" w:rsidRDefault="00680E4C">
      <w:pPr>
        <w:tabs>
          <w:tab w:val="left" w:pos="1260"/>
        </w:tabs>
        <w:spacing w:line="336" w:lineRule="auto"/>
        <w:ind w:firstLineChars="200" w:firstLine="480"/>
        <w:rPr>
          <w:rFonts w:ascii="宋体" w:hAnsi="宋体"/>
          <w:sz w:val="24"/>
        </w:rPr>
      </w:pPr>
      <w:r>
        <w:rPr>
          <w:rFonts w:ascii="宋体" w:hAnsi="宋体" w:hint="eastAsia"/>
          <w:sz w:val="24"/>
        </w:rPr>
        <w:t>基金管理人确定基金投资中期票据的，应根据《托管协议》及相关补充协议的约定向资产托管人提供其托管基金拟购买中期票据的数量和价格、应划付的金额等执行指令所需相关信息，并保证上述信息的真实、准确、完整。</w:t>
      </w:r>
    </w:p>
    <w:p w14:paraId="53013B63" w14:textId="77777777" w:rsidR="00DD2567" w:rsidRDefault="00680E4C">
      <w:pPr>
        <w:tabs>
          <w:tab w:val="left" w:pos="1260"/>
        </w:tabs>
        <w:spacing w:line="336" w:lineRule="auto"/>
        <w:ind w:firstLineChars="200" w:firstLine="480"/>
        <w:rPr>
          <w:rFonts w:ascii="宋体" w:hAnsi="宋体"/>
          <w:sz w:val="24"/>
        </w:rPr>
      </w:pPr>
      <w:r>
        <w:rPr>
          <w:rFonts w:ascii="宋体" w:hAnsi="宋体"/>
          <w:sz w:val="24"/>
        </w:rPr>
        <w:t>基金托管人应对基金管理人提供的有关书面信息</w:t>
      </w:r>
      <w:r>
        <w:rPr>
          <w:rFonts w:ascii="宋体" w:hAnsi="宋体" w:hint="eastAsia"/>
          <w:sz w:val="24"/>
        </w:rPr>
        <w:t>进行审核，</w:t>
      </w:r>
      <w:r>
        <w:rPr>
          <w:rFonts w:ascii="宋体" w:hAnsi="宋体"/>
          <w:sz w:val="24"/>
        </w:rPr>
        <w:t>基金托管人认为上述资料可能导致基金</w:t>
      </w:r>
      <w:r>
        <w:rPr>
          <w:rFonts w:ascii="宋体" w:hAnsi="宋体" w:hint="eastAsia"/>
          <w:sz w:val="24"/>
        </w:rPr>
        <w:t>投资</w:t>
      </w:r>
      <w:r>
        <w:rPr>
          <w:rFonts w:ascii="宋体" w:hAnsi="宋体"/>
          <w:sz w:val="24"/>
        </w:rPr>
        <w:t>出现风险的，有权要求基金管理人在投资</w:t>
      </w:r>
      <w:r>
        <w:rPr>
          <w:rFonts w:ascii="宋体" w:hAnsi="宋体" w:hint="eastAsia"/>
          <w:sz w:val="24"/>
        </w:rPr>
        <w:t>中期票据</w:t>
      </w:r>
      <w:r>
        <w:rPr>
          <w:rFonts w:ascii="宋体" w:hAnsi="宋体"/>
          <w:sz w:val="24"/>
        </w:rPr>
        <w:t>前就该风险的消除或防范措施进行补充书面说明，并保留查看基金管理人风险管理部门就</w:t>
      </w:r>
      <w:r>
        <w:rPr>
          <w:rFonts w:ascii="宋体" w:hAnsi="宋体" w:hint="eastAsia"/>
          <w:sz w:val="24"/>
        </w:rPr>
        <w:t>本</w:t>
      </w:r>
      <w:r>
        <w:rPr>
          <w:rFonts w:ascii="宋体" w:hAnsi="宋体"/>
          <w:sz w:val="24"/>
        </w:rPr>
        <w:t>基金投资</w:t>
      </w:r>
      <w:r>
        <w:rPr>
          <w:rFonts w:ascii="宋体" w:hAnsi="宋体" w:hint="eastAsia"/>
          <w:sz w:val="24"/>
        </w:rPr>
        <w:t>中期票据</w:t>
      </w:r>
      <w:r>
        <w:rPr>
          <w:rFonts w:ascii="宋体" w:hAnsi="宋体"/>
          <w:sz w:val="24"/>
        </w:rPr>
        <w:t>出具的风险评估报告等备查资料的权利。否则，基金</w:t>
      </w:r>
      <w:r>
        <w:rPr>
          <w:rFonts w:ascii="宋体" w:hAnsi="宋体"/>
          <w:sz w:val="24"/>
        </w:rPr>
        <w:lastRenderedPageBreak/>
        <w:t>托管人有权拒绝执行有关指令。因</w:t>
      </w:r>
      <w:r>
        <w:rPr>
          <w:rFonts w:ascii="宋体" w:hAnsi="宋体" w:hint="eastAsia"/>
          <w:kern w:val="0"/>
          <w:sz w:val="24"/>
        </w:rPr>
        <w:t>在上述情形下</w:t>
      </w:r>
      <w:r>
        <w:rPr>
          <w:rFonts w:ascii="宋体" w:hAnsi="宋体"/>
          <w:sz w:val="24"/>
        </w:rPr>
        <w:t>拒绝执行该指令造成基金财产损失的，基金托管人不承担任何责任，并有权报告中国证监会。</w:t>
      </w:r>
    </w:p>
    <w:p w14:paraId="715032F5" w14:textId="77777777" w:rsidR="00DD2567" w:rsidRDefault="00680E4C">
      <w:pPr>
        <w:tabs>
          <w:tab w:val="left" w:pos="1260"/>
        </w:tabs>
        <w:spacing w:line="336" w:lineRule="auto"/>
        <w:ind w:firstLineChars="200" w:firstLine="480"/>
        <w:rPr>
          <w:rFonts w:ascii="宋体" w:hAnsi="宋体"/>
          <w:sz w:val="24"/>
        </w:rPr>
      </w:pPr>
      <w:r>
        <w:rPr>
          <w:rFonts w:ascii="宋体" w:hAnsi="宋体"/>
          <w:sz w:val="24"/>
        </w:rPr>
        <w:t>如基金管理人和基金托管人无法达成一致，应及时上报中国证监会请求解决。如果基金托管人切实履行监督职责，则不承担任何责任。</w:t>
      </w:r>
    </w:p>
    <w:p w14:paraId="2CBFD3B8" w14:textId="77777777" w:rsidR="00DD2567" w:rsidRDefault="00680E4C">
      <w:pPr>
        <w:tabs>
          <w:tab w:val="left" w:pos="1260"/>
        </w:tabs>
        <w:spacing w:line="336" w:lineRule="auto"/>
        <w:ind w:firstLineChars="200" w:firstLine="480"/>
        <w:rPr>
          <w:rFonts w:ascii="宋体" w:hAnsi="宋体"/>
          <w:sz w:val="24"/>
        </w:rPr>
      </w:pPr>
      <w:r>
        <w:rPr>
          <w:rFonts w:ascii="宋体" w:hAnsi="宋体" w:hint="eastAsia"/>
          <w:sz w:val="24"/>
        </w:rPr>
        <w:t>9、基金托管人依据有关法律法规的规定、基金合同和本协议的约定对于基金关联投资限制进行监督。</w:t>
      </w:r>
    </w:p>
    <w:p w14:paraId="562A1747" w14:textId="77777777" w:rsidR="00DD2567" w:rsidRDefault="00680E4C">
      <w:pPr>
        <w:tabs>
          <w:tab w:val="left" w:pos="1260"/>
        </w:tabs>
        <w:spacing w:line="336" w:lineRule="auto"/>
        <w:ind w:firstLineChars="200" w:firstLine="480"/>
        <w:rPr>
          <w:rFonts w:ascii="宋体" w:hAnsi="宋体"/>
          <w:sz w:val="24"/>
        </w:rPr>
      </w:pPr>
      <w:r>
        <w:rPr>
          <w:rFonts w:ascii="宋体" w:hAnsi="宋体" w:hint="eastAsia"/>
          <w:sz w:val="24"/>
        </w:rPr>
        <w:t>根据法律法规有关基金禁止从事的关联交易的规定，基金管理人和基金托管人应事先相互提供与本机构有控股关系的股东或与本机构有其他重大利害关系的公司名单及其更新，加盖公章并书面提交，并确保所提供的关联交易名单的真实性、完整性、全面性。</w:t>
      </w:r>
    </w:p>
    <w:p w14:paraId="27CBEC0A" w14:textId="77777777" w:rsidR="00DD2567" w:rsidRDefault="00680E4C">
      <w:pPr>
        <w:tabs>
          <w:tab w:val="left" w:pos="1260"/>
        </w:tabs>
        <w:spacing w:line="336" w:lineRule="auto"/>
        <w:ind w:firstLineChars="200" w:firstLine="480"/>
        <w:rPr>
          <w:rFonts w:ascii="宋体" w:hAnsi="宋体"/>
          <w:sz w:val="24"/>
        </w:rPr>
      </w:pPr>
      <w:r>
        <w:rPr>
          <w:rFonts w:ascii="宋体" w:hAnsi="宋体" w:hint="eastAsia"/>
          <w:sz w:val="24"/>
        </w:rPr>
        <w:t>若基金托管人发现基金管理人与关联交易名单中列示的关联方进行法律法规禁止基金从事的关联交易时，基金托管人应及时提醒并协助基金管理人采取必要措施阻止该关联交易的发生，若基金托管人采取必要措施后仍无法阻止关联交易发生时，基金托管人有权向中国证监会报告。对于交易所场内已成交的违规关联交易，基金托管人应按相关法律法规和交易所规则的规定进行结算，同时向中国证监会报告。如果基金托管人在运作中发现并提醒了基金管理人，基金管理人仍违规进行关联交易，并造成基金资产损失的，由基金管理人承担责任。</w:t>
      </w:r>
    </w:p>
    <w:p w14:paraId="552B0F07"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10、基金托管人根据法律法规的规定及《基金合同》和本协议的约定，对基金投资其他方面进行监督。</w:t>
      </w:r>
    </w:p>
    <w:p w14:paraId="6FEC5FC0"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则基金托管人对此不承担任何责任，并有权在发现后报告中国证监会。</w:t>
      </w:r>
    </w:p>
    <w:p w14:paraId="5A222B48"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14:paraId="6BE33D99" w14:textId="77777777" w:rsidR="00DD2567" w:rsidRDefault="00680E4C">
      <w:pPr>
        <w:spacing w:line="336" w:lineRule="auto"/>
        <w:ind w:firstLineChars="200" w:firstLine="480"/>
        <w:rPr>
          <w:rFonts w:ascii="宋体" w:hAnsi="宋体"/>
          <w:kern w:val="0"/>
          <w:sz w:val="24"/>
        </w:rPr>
      </w:pPr>
      <w:r>
        <w:rPr>
          <w:rFonts w:ascii="宋体" w:hAnsi="宋体" w:hint="eastAsia"/>
          <w:kern w:val="0"/>
          <w:sz w:val="24"/>
        </w:rPr>
        <w:t>基金托管人发现基金管理人的投资指令或实际投资运作违反《基金法》及其他有关法规、《基金合同》和本协议规定的行为，应及时以书面形式通知基金管理人限期纠正，基金管理人收到通知后应及时核对，并以电话或书面形式向基金</w:t>
      </w:r>
      <w:r>
        <w:rPr>
          <w:rFonts w:ascii="宋体" w:hAnsi="宋体" w:hint="eastAsia"/>
          <w:kern w:val="0"/>
          <w:sz w:val="24"/>
        </w:rPr>
        <w:lastRenderedPageBreak/>
        <w:t>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14:paraId="07BF0BA0"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基金托管人发现基金管理人有重大违规行为，应立即报告中国证监会，同时通知基金管理人在限期内纠正。</w:t>
      </w:r>
    </w:p>
    <w:p w14:paraId="472DA21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基金托管人发现基金管理人的指令违反法律、行政法规和其他有关规定，或者违反《基金合同》约定的，应当拒绝执行，立即通知基金管理人，并及时向中国证监会报告。</w:t>
      </w:r>
    </w:p>
    <w:p w14:paraId="3CB0F3B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基金托管人发现基金管理人依据交易程序已经生效的指令违反法律、行政法规和其他有关规定，或者违反《基金合同》约定的，应当立即通知基金管理人，并及时向中国证监会报告。</w:t>
      </w:r>
    </w:p>
    <w:p w14:paraId="6B82DB18"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第三部分基金管理人对基金托管人的业务核查</w:t>
      </w:r>
    </w:p>
    <w:p w14:paraId="161C0E3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根据《基金法》及其他有关法规、《基金合同》和本协议规定，基金管理人对基金托管人履行托管职责的情况进行核查，核查事项包括但不限于基金托管人是否安全保管基金财产、是否开立基金财产的资金账户、证券账户、期货账户及债券托管账户等投资所需的账户，是否及时、准确复核基金管理人计算的基金资产净值和基金份额净值，是否根据基金管理人指令办理清算交收，是否按照法规规定和《基金合同》规定进行相关信息披露和监督基金投资运作等行为。</w:t>
      </w:r>
    </w:p>
    <w:p w14:paraId="4D5A66C4"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定期和不定期地对基金托管人保管的基金资产进行核查。基金托管人应积极配合基金管理人的核查行为，包括但不限于：提交相关资料以供基金管理人核查托管财产的完整性和真实性，在规定时间内答复基金管理人并改正。</w:t>
      </w:r>
    </w:p>
    <w:p w14:paraId="202540AD"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基金托管人收到通知后应及时核对并以书面形式对基金管理人发出回函。如无异议，应在基金管理人给定的合理期限内改进。基金管理人有权随时对通知事项进行复查，督促基金托管人改正。基金托管人对基金管理人通知的违规事项未能在限期内纠正的，基金管理人应报告中国证监会。对基金管理人按照法规要</w:t>
      </w:r>
      <w:r>
        <w:rPr>
          <w:rFonts w:ascii="宋体" w:hAnsi="宋体" w:hint="eastAsia"/>
          <w:kern w:val="0"/>
          <w:sz w:val="24"/>
        </w:rPr>
        <w:lastRenderedPageBreak/>
        <w:t>求需向中国证监会报送基金监督报告的，基金托管人应积极配合提供相关数据资料和制度等。</w:t>
      </w:r>
    </w:p>
    <w:p w14:paraId="502EEDA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基金管理人发现基金托管人有重大违规行为，应立即报告中国证监会，同时通知基金托管人在限期内纠正。</w:t>
      </w:r>
    </w:p>
    <w:p w14:paraId="33604ACE"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第四部分基金财产的保管</w:t>
      </w:r>
    </w:p>
    <w:p w14:paraId="10229595" w14:textId="77777777" w:rsidR="00DD2567" w:rsidRDefault="00680E4C">
      <w:pPr>
        <w:spacing w:line="360" w:lineRule="auto"/>
        <w:ind w:firstLineChars="200" w:firstLine="480"/>
        <w:rPr>
          <w:rFonts w:ascii="宋体" w:hAnsi="宋体"/>
          <w:kern w:val="0"/>
          <w:sz w:val="24"/>
        </w:rPr>
      </w:pPr>
      <w:bookmarkStart w:id="430" w:name="_Toc37159173"/>
      <w:bookmarkStart w:id="431" w:name="_Toc77662997"/>
      <w:r>
        <w:rPr>
          <w:rFonts w:ascii="宋体" w:hAnsi="宋体" w:hint="eastAsia"/>
          <w:kern w:val="0"/>
          <w:sz w:val="24"/>
        </w:rPr>
        <w:t>一、基金财产保管的原则</w:t>
      </w:r>
      <w:bookmarkEnd w:id="430"/>
      <w:bookmarkEnd w:id="431"/>
    </w:p>
    <w:p w14:paraId="19D1395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1、基金托管人应安全保管基金财产，未经基金管理人依据合法程序作出的合法合规的指令，不得自行运用、处分、分配基金的任何资产。</w:t>
      </w:r>
    </w:p>
    <w:p w14:paraId="0A90972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2、基金财产应独立于基金管理人、基金托管人的固有财产。</w:t>
      </w:r>
    </w:p>
    <w:p w14:paraId="68031B30"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3、基金托管人按照规定开立基金财产的资金账户、证券账户、期货账户和债券托管账户</w:t>
      </w:r>
      <w:r>
        <w:rPr>
          <w:rFonts w:ascii="宋体" w:hAnsi="宋体" w:hint="eastAsia"/>
          <w:sz w:val="24"/>
          <w:szCs w:val="21"/>
        </w:rPr>
        <w:t>等投资所需账户</w:t>
      </w:r>
      <w:r>
        <w:rPr>
          <w:rFonts w:ascii="宋体" w:hAnsi="宋体" w:hint="eastAsia"/>
          <w:kern w:val="0"/>
          <w:sz w:val="24"/>
        </w:rPr>
        <w:t>。</w:t>
      </w:r>
    </w:p>
    <w:p w14:paraId="5A36FBD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4、基金托管人对所托管的不同基金财产分别设置账户，与基金托管人的其他业务和其他基金的托管业务实行严格的分账管理，确保基金财产的完整和独立。</w:t>
      </w:r>
    </w:p>
    <w:p w14:paraId="0A686D8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5、对于因为基金投资产生的应收资产和基金认购、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bookmarkStart w:id="432" w:name="_Toc37159174"/>
      <w:bookmarkStart w:id="433" w:name="_Toc77662998"/>
      <w:r>
        <w:rPr>
          <w:rFonts w:ascii="宋体" w:hAnsi="宋体" w:hint="eastAsia"/>
          <w:kern w:val="0"/>
          <w:sz w:val="24"/>
        </w:rPr>
        <w:t>基金托管人对此不承担任何责任。</w:t>
      </w:r>
    </w:p>
    <w:p w14:paraId="633EA8A3"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6、除依据法律法规和《基金合同》的规定外，基金托管人不得委托第三人托管基金财产。</w:t>
      </w:r>
    </w:p>
    <w:p w14:paraId="75D851D3"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7、属于基金托管人实际有效控制下的实物证券在基金托管人保管期间的损坏、灭失，由此产生的责任应由基金托管人承担。</w:t>
      </w:r>
    </w:p>
    <w:p w14:paraId="06C7F8F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二、《基金合同》生效时募集资产的验证</w:t>
      </w:r>
      <w:bookmarkEnd w:id="432"/>
      <w:bookmarkEnd w:id="433"/>
    </w:p>
    <w:p w14:paraId="40A742E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基金募集期满或基金管理人停止基金发售</w:t>
      </w:r>
      <w:r>
        <w:rPr>
          <w:rFonts w:ascii="宋体" w:hAnsi="宋体"/>
          <w:kern w:val="0"/>
          <w:sz w:val="24"/>
        </w:rPr>
        <w:t>之日起</w:t>
      </w:r>
      <w:r>
        <w:rPr>
          <w:rFonts w:ascii="宋体" w:hAnsi="宋体" w:hint="eastAsia"/>
          <w:kern w:val="0"/>
          <w:sz w:val="24"/>
        </w:rPr>
        <w:t>10</w:t>
      </w:r>
      <w:r>
        <w:rPr>
          <w:rFonts w:ascii="宋体" w:hAnsi="宋体"/>
          <w:kern w:val="0"/>
          <w:sz w:val="24"/>
        </w:rPr>
        <w:t>日内</w:t>
      </w:r>
      <w:r>
        <w:rPr>
          <w:rFonts w:ascii="宋体" w:hAnsi="宋体" w:hint="eastAsia"/>
          <w:kern w:val="0"/>
          <w:sz w:val="24"/>
        </w:rPr>
        <w:t>，募集的基金份额总额、基金募集金额、基金份额持有人人数符合《基金法》、《运作办法》等有关规定后，由基金管理人聘请具有从事证券相关业务资格的会计师事务所进行验资，出具验资报告，出具的验资报告应由参加验资的</w:t>
      </w:r>
      <w:r>
        <w:rPr>
          <w:rFonts w:ascii="宋体" w:hAnsi="宋体"/>
          <w:kern w:val="0"/>
          <w:sz w:val="24"/>
        </w:rPr>
        <w:t>2</w:t>
      </w:r>
      <w:r>
        <w:rPr>
          <w:rFonts w:ascii="宋体" w:hAnsi="宋体" w:hint="eastAsia"/>
          <w:kern w:val="0"/>
          <w:sz w:val="24"/>
        </w:rPr>
        <w:t>名以上（含</w:t>
      </w:r>
      <w:r>
        <w:rPr>
          <w:rFonts w:ascii="宋体" w:hAnsi="宋体"/>
          <w:kern w:val="0"/>
          <w:sz w:val="24"/>
        </w:rPr>
        <w:t>2</w:t>
      </w:r>
      <w:r>
        <w:rPr>
          <w:rFonts w:ascii="宋体" w:hAnsi="宋体" w:hint="eastAsia"/>
          <w:kern w:val="0"/>
          <w:sz w:val="24"/>
        </w:rPr>
        <w:t>名）中国注册会计师签字有效。验资完成，基金管理人应将募集到的全部资金存入基金托管人为基金开立的基金银行存款账户中，基金托管人在收到资金当日出具相关证明</w:t>
      </w:r>
      <w:r>
        <w:rPr>
          <w:rFonts w:ascii="宋体" w:hAnsi="宋体" w:hint="eastAsia"/>
          <w:kern w:val="0"/>
          <w:sz w:val="24"/>
        </w:rPr>
        <w:lastRenderedPageBreak/>
        <w:t>文件。</w:t>
      </w:r>
      <w:bookmarkStart w:id="434" w:name="_Toc37159176"/>
      <w:bookmarkStart w:id="435" w:name="_Toc77663000"/>
    </w:p>
    <w:p w14:paraId="6BBE2E3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若基金募集期届满后，未能达到《基金合同》生效条件，由基金管理人按规定办理退款，基金托管人应提供必要协助。</w:t>
      </w:r>
    </w:p>
    <w:p w14:paraId="7A0105AB"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三、基金的银行存款账户的开立和管理</w:t>
      </w:r>
      <w:bookmarkEnd w:id="434"/>
      <w:bookmarkEnd w:id="435"/>
    </w:p>
    <w:p w14:paraId="144368C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1、基金托管人应负责本基金银行存款账户的开立和管理。</w:t>
      </w:r>
    </w:p>
    <w:p w14:paraId="79179DA4"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基金托管人以本基金的名义在其营业机构开立基金的银行存款账户，并根据中国人民银行规定计息。本基金的银行预留印鉴由基金托管人制作、保管和使用。本基金的一切货币收支活动，包括但不限于投资、支付赎回金额、支付基金收益，均需通过本基金的银行存款账户进行。</w:t>
      </w:r>
    </w:p>
    <w:p w14:paraId="1A07866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2DBAFCF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4、基金托管人可以通过申请开通本基金银行账户的企业网上银行业务进行资金支付，并使用交通银行企业网上银行（简称“交通银行网银”）办理托管资产的资金结算汇划业务。</w:t>
      </w:r>
    </w:p>
    <w:p w14:paraId="7988A09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5、基金银行存款账户的管理应符合《中华人民共和国票据法》、《人民币银行账户结算管理办法》、《现金管理暂行条例实施细则》、《人民币利率管理规定》、《支付结算办法》以及银行业监督管理机构的其他规定。</w:t>
      </w:r>
      <w:bookmarkStart w:id="436" w:name="_Toc37159177"/>
      <w:bookmarkStart w:id="437" w:name="_Toc77663001"/>
    </w:p>
    <w:p w14:paraId="0985DEE2"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6、基金托管人应严格管理基金在基金托管人处开立的银行存款账户、及时核查基金银行存款账户余额。</w:t>
      </w:r>
    </w:p>
    <w:p w14:paraId="6FC43AB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四、基金证券交收账户、资金交收账户的开立和管理</w:t>
      </w:r>
      <w:bookmarkEnd w:id="436"/>
      <w:bookmarkEnd w:id="437"/>
    </w:p>
    <w:p w14:paraId="560DB50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基金托管人以基金托管人和本基金联名的方式在中国证券登记结算有限责任公司开立证券账户。</w:t>
      </w:r>
    </w:p>
    <w:p w14:paraId="66E5D37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19EF1A02"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基金账户的开立和证券账户卡的保管由基金托管人负责，账户资产的管理和运用由基金管理人负责。基金管理人不得对基金证券交收账户、资金交收账户进行证券的超卖或超买。</w:t>
      </w:r>
    </w:p>
    <w:p w14:paraId="04C59007"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lastRenderedPageBreak/>
        <w:t>基金托管人</w:t>
      </w:r>
      <w:r>
        <w:rPr>
          <w:rFonts w:ascii="宋体" w:hAnsi="宋体"/>
          <w:kern w:val="0"/>
          <w:sz w:val="24"/>
        </w:rPr>
        <w:t>以</w:t>
      </w:r>
      <w:r>
        <w:rPr>
          <w:rFonts w:ascii="宋体" w:hAnsi="宋体" w:hint="eastAsia"/>
          <w:kern w:val="0"/>
          <w:sz w:val="24"/>
        </w:rPr>
        <w:t>基金托管人的名义在中国证券登记结算有限责任公司开立结算备付金账户即资金交收账户，用于证券交易资金的结算。基金托管人以本基金的名义在托管人处开立基金的证券交易资金结算的二级结算备付金账户。</w:t>
      </w:r>
      <w:bookmarkStart w:id="438" w:name="_Toc37159179"/>
      <w:bookmarkStart w:id="439" w:name="_Toc77663003"/>
    </w:p>
    <w:p w14:paraId="2A33131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五、债券托管账户的开立和管理</w:t>
      </w:r>
    </w:p>
    <w:p w14:paraId="04703C3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合同生效后，基金托管人负责向人民银行进行报备，并在备案通过后在中央国债登记结算有限责任公司和银行间市场清算所股份有限公司以本基金的名义开立债券托管账户，并由基金托管人负责基金的债券及资金的清算。基金管理人负责申请基金进入全国银行间同业拆借市场进行交易，由基金管理人在中国外汇交易中心开设同业拆借市场交易账户。</w:t>
      </w:r>
    </w:p>
    <w:p w14:paraId="60C1C75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2、基金管理人代表基金签订全国银行间债券市场债券回购主协议，协议正本由基金管理人保存。</w:t>
      </w:r>
    </w:p>
    <w:p w14:paraId="05084C04"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六、其他账户的开立和管理</w:t>
      </w:r>
    </w:p>
    <w:p w14:paraId="2A58E3E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若中国证监会或其他监管机构在本托管协议订立日之后允许基金从事其他投资品种的投资业务，涉及相关账户的开立、使用的，在基金管理人和基金托管人商议后，由基金管理人协助基金托管人根据有关法律法规的规定和《基金合同》的约定，开立有关账户。该账户按有关规则使用并管理。</w:t>
      </w:r>
    </w:p>
    <w:p w14:paraId="2F2C2CCD"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七、基金财产投资的有关实物证券、银行存款定期存单等有价凭证的保管</w:t>
      </w:r>
      <w:bookmarkEnd w:id="438"/>
      <w:bookmarkEnd w:id="439"/>
    </w:p>
    <w:p w14:paraId="4CBF6F1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实物证券由基金托管人存放于基金托管人的保管库。实物证券的购买和转让，由基金托管人根据基金管理人的指令办理。基金托管人对由基金托管人以外机构实际有效控制的本基金资产不承担保管责任。</w:t>
      </w:r>
    </w:p>
    <w:p w14:paraId="6714BAA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银行存款定期存单等有价凭证由基金托管人负责保管。</w:t>
      </w:r>
    </w:p>
    <w:p w14:paraId="2149DD48" w14:textId="77777777" w:rsidR="00DD2567" w:rsidRDefault="00680E4C">
      <w:pPr>
        <w:spacing w:line="360" w:lineRule="auto"/>
        <w:ind w:firstLineChars="200" w:firstLine="480"/>
        <w:rPr>
          <w:rFonts w:ascii="宋体" w:hAnsi="宋体"/>
          <w:kern w:val="0"/>
          <w:sz w:val="24"/>
        </w:rPr>
      </w:pPr>
      <w:bookmarkStart w:id="440" w:name="_Toc37159180"/>
      <w:bookmarkStart w:id="441" w:name="_Toc77663004"/>
      <w:r>
        <w:rPr>
          <w:rFonts w:ascii="宋体" w:hAnsi="宋体" w:hint="eastAsia"/>
          <w:kern w:val="0"/>
          <w:sz w:val="24"/>
        </w:rPr>
        <w:t>八、与基金财产有关的重大合同的保管</w:t>
      </w:r>
      <w:bookmarkEnd w:id="440"/>
      <w:bookmarkEnd w:id="441"/>
    </w:p>
    <w:p w14:paraId="29BADE9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在重大合同签署后及时传真给基金托管人，并在7个工作日内将正本送达基金托管人处，重大合同保管期限为《基金合同》终止后15年。</w:t>
      </w:r>
    </w:p>
    <w:p w14:paraId="00FADD2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对于无法取得二份以上的正本的，基金管理人应向基金托管人提供加盖授权</w:t>
      </w:r>
      <w:r>
        <w:rPr>
          <w:rFonts w:ascii="宋体" w:hAnsi="宋体" w:hint="eastAsia"/>
          <w:kern w:val="0"/>
          <w:sz w:val="24"/>
        </w:rPr>
        <w:lastRenderedPageBreak/>
        <w:t>业务章的合同传真件，未经双方协商或未在合同约定范围内，合同原件不得转移。</w:t>
      </w:r>
    </w:p>
    <w:p w14:paraId="33027915"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第五部分基金资产净值计算和会计核算</w:t>
      </w:r>
    </w:p>
    <w:p w14:paraId="00EBEDA8" w14:textId="77777777" w:rsidR="00DD2567" w:rsidRDefault="00680E4C">
      <w:pPr>
        <w:spacing w:line="360" w:lineRule="auto"/>
        <w:ind w:firstLineChars="200" w:firstLine="480"/>
        <w:rPr>
          <w:rFonts w:ascii="宋体" w:hAnsi="宋体"/>
          <w:kern w:val="0"/>
          <w:sz w:val="24"/>
        </w:rPr>
      </w:pPr>
      <w:bookmarkStart w:id="442" w:name="_Toc77663017"/>
      <w:r>
        <w:rPr>
          <w:rFonts w:ascii="宋体" w:hAnsi="宋体" w:hint="eastAsia"/>
          <w:kern w:val="0"/>
          <w:sz w:val="24"/>
        </w:rPr>
        <w:t>一、基金资产净值及基金份额净值的计算与复核</w:t>
      </w:r>
      <w:bookmarkEnd w:id="442"/>
    </w:p>
    <w:p w14:paraId="7608E88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基金资产净值是指基金资产总值减去负债后的价值。</w:t>
      </w:r>
    </w:p>
    <w:p w14:paraId="4ECDAF31" w14:textId="6FD6B7A2" w:rsidR="00DD2567" w:rsidRDefault="00680E4C">
      <w:pPr>
        <w:spacing w:line="360" w:lineRule="auto"/>
        <w:ind w:firstLineChars="200" w:firstLine="480"/>
        <w:rPr>
          <w:rFonts w:ascii="宋体" w:hAnsi="宋体"/>
          <w:kern w:val="0"/>
          <w:sz w:val="24"/>
        </w:rPr>
      </w:pPr>
      <w:r>
        <w:rPr>
          <w:rFonts w:ascii="宋体" w:hAnsi="宋体" w:hint="eastAsia"/>
          <w:kern w:val="0"/>
          <w:sz w:val="24"/>
        </w:rPr>
        <w:t>基金份额净值是指基金资产净值除以基金份额总数。基金份额净值的计算，精确到</w:t>
      </w:r>
      <w:r>
        <w:rPr>
          <w:rFonts w:ascii="宋体" w:hAnsi="宋体"/>
          <w:kern w:val="0"/>
          <w:sz w:val="24"/>
        </w:rPr>
        <w:t>0.00</w:t>
      </w:r>
      <w:r w:rsidR="00A047AF">
        <w:rPr>
          <w:rFonts w:ascii="宋体" w:hAnsi="宋体"/>
          <w:kern w:val="0"/>
          <w:sz w:val="24"/>
        </w:rPr>
        <w:t>0</w:t>
      </w:r>
      <w:r>
        <w:rPr>
          <w:rFonts w:ascii="宋体" w:hAnsi="宋体"/>
          <w:kern w:val="0"/>
          <w:sz w:val="24"/>
        </w:rPr>
        <w:t>1元，小数点后第</w:t>
      </w:r>
      <w:r w:rsidR="00A047AF">
        <w:rPr>
          <w:rFonts w:ascii="宋体" w:hAnsi="宋体"/>
          <w:kern w:val="0"/>
          <w:sz w:val="24"/>
        </w:rPr>
        <w:t>5</w:t>
      </w:r>
      <w:r>
        <w:rPr>
          <w:rFonts w:ascii="宋体" w:hAnsi="宋体"/>
          <w:kern w:val="0"/>
          <w:sz w:val="24"/>
        </w:rPr>
        <w:t>位四舍五入，</w:t>
      </w:r>
      <w:r>
        <w:rPr>
          <w:rFonts w:ascii="宋体" w:hAnsi="宋体" w:hint="eastAsia"/>
          <w:kern w:val="0"/>
          <w:sz w:val="24"/>
        </w:rPr>
        <w:t>由此产生的误差计入基金财产。</w:t>
      </w:r>
      <w:r>
        <w:rPr>
          <w:rFonts w:ascii="宋体" w:hAnsi="宋体"/>
          <w:kern w:val="0"/>
          <w:sz w:val="24"/>
        </w:rPr>
        <w:t>国家另有规定的，从其规定。</w:t>
      </w:r>
    </w:p>
    <w:p w14:paraId="43C6C94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基金管理人应每工作日对基金资产估值。</w:t>
      </w:r>
      <w:r>
        <w:rPr>
          <w:rFonts w:ascii="宋体" w:hAnsi="宋体"/>
          <w:kern w:val="0"/>
          <w:sz w:val="24"/>
        </w:rPr>
        <w:t>估值原则应符合《基金合同》、</w:t>
      </w:r>
      <w:r>
        <w:rPr>
          <w:rFonts w:ascii="宋体" w:hAnsi="宋体" w:hint="eastAsia"/>
          <w:kern w:val="0"/>
          <w:sz w:val="24"/>
        </w:rPr>
        <w:t>《</w:t>
      </w:r>
      <w:bookmarkStart w:id="443" w:name="_Toc187224006"/>
      <w:r>
        <w:rPr>
          <w:rFonts w:ascii="宋体" w:hAnsi="宋体" w:hint="eastAsia"/>
          <w:kern w:val="0"/>
          <w:sz w:val="24"/>
        </w:rPr>
        <w:t>关于证券投资基金执行&lt;企业会计准则&gt;估值业务及份额净值计价有关事项的通知</w:t>
      </w:r>
      <w:bookmarkEnd w:id="443"/>
      <w:r>
        <w:rPr>
          <w:rFonts w:ascii="宋体" w:hAnsi="宋体" w:hint="eastAsia"/>
          <w:kern w:val="0"/>
          <w:sz w:val="24"/>
        </w:rPr>
        <w:t>》</w:t>
      </w:r>
      <w:r>
        <w:rPr>
          <w:rFonts w:ascii="宋体" w:hAnsi="宋体"/>
          <w:kern w:val="0"/>
          <w:sz w:val="24"/>
        </w:rPr>
        <w:t>及其他法律、法规的规定。</w:t>
      </w:r>
      <w:r>
        <w:rPr>
          <w:rFonts w:ascii="宋体" w:hAnsi="宋体" w:hint="eastAsia"/>
          <w:kern w:val="0"/>
          <w:sz w:val="24"/>
        </w:rPr>
        <w:t>用于基金信息披露的基金资产净值和基金份额净值由基金管理人负责计算，基金托管人复核。</w:t>
      </w:r>
    </w:p>
    <w:p w14:paraId="3C24D13B"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基金管理人应于每个工作日交易结束后计算当日的基金资产净值，以约定方式发送给基金托管人。基金托管人对净值计算结果复核后，将复核结果反馈给基金管理人，由基金管理人对基金份额净值予以公布。</w:t>
      </w:r>
    </w:p>
    <w:p w14:paraId="6B7BAAD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本基金按以下方法估值：</w:t>
      </w:r>
    </w:p>
    <w:p w14:paraId="02569F61" w14:textId="77777777" w:rsidR="00DD2567" w:rsidRDefault="00680E4C">
      <w:pPr>
        <w:spacing w:line="360" w:lineRule="auto"/>
        <w:ind w:firstLineChars="200" w:firstLine="480"/>
        <w:rPr>
          <w:rFonts w:ascii="宋体" w:hAnsi="宋体"/>
          <w:bCs/>
          <w:sz w:val="24"/>
        </w:rPr>
      </w:pPr>
      <w:r>
        <w:rPr>
          <w:rFonts w:ascii="宋体" w:hAnsi="宋体"/>
          <w:bCs/>
          <w:sz w:val="24"/>
        </w:rPr>
        <w:t>1、证券交易所上市的有价证券的估值</w:t>
      </w:r>
    </w:p>
    <w:p w14:paraId="502CFD9E" w14:textId="77777777" w:rsidR="00DD2567" w:rsidRDefault="00680E4C">
      <w:pPr>
        <w:spacing w:line="360" w:lineRule="auto"/>
        <w:ind w:firstLineChars="200" w:firstLine="480"/>
        <w:rPr>
          <w:rFonts w:ascii="宋体" w:hAnsi="宋体"/>
          <w:bCs/>
          <w:sz w:val="24"/>
        </w:rPr>
      </w:pPr>
      <w:r>
        <w:rPr>
          <w:rFonts w:ascii="宋体" w:hAnsi="宋体"/>
          <w:bCs/>
          <w:sz w:val="24"/>
        </w:rPr>
        <w:t>（1）交易所上市的有价证券（包括股票、权证等），以其估值日在证券交易所挂牌的市价（收盘价）估值；估值日无交易的，且最近交易日后经济环境未发生重大变化，以最近交易日的市价（收盘价）估值；如最近交易日后经济环境发生了重大变化的，可参考类似投资品种的现行市价及重大变化因素，调整最近交易市价，确定公允价格。</w:t>
      </w:r>
    </w:p>
    <w:p w14:paraId="690A64C6" w14:textId="77777777" w:rsidR="00DD2567" w:rsidRDefault="00680E4C">
      <w:pPr>
        <w:spacing w:line="360" w:lineRule="auto"/>
        <w:ind w:firstLineChars="200" w:firstLine="480"/>
        <w:rPr>
          <w:bCs/>
          <w:sz w:val="24"/>
        </w:rPr>
      </w:pPr>
      <w:r>
        <w:rPr>
          <w:bCs/>
          <w:sz w:val="24"/>
        </w:rPr>
        <w:t>2</w:t>
      </w:r>
      <w:r>
        <w:rPr>
          <w:rFonts w:hint="eastAsia"/>
          <w:bCs/>
          <w:sz w:val="24"/>
        </w:rPr>
        <w:t>、交易所市场交易的固定收益品种的估值</w:t>
      </w:r>
    </w:p>
    <w:p w14:paraId="4EC8F09F" w14:textId="77777777" w:rsidR="00DD2567" w:rsidRDefault="00680E4C">
      <w:pPr>
        <w:spacing w:line="360" w:lineRule="auto"/>
        <w:ind w:firstLineChars="200" w:firstLine="480"/>
        <w:rPr>
          <w:bCs/>
          <w:sz w:val="24"/>
        </w:rPr>
      </w:pPr>
      <w:r>
        <w:rPr>
          <w:rFonts w:hint="eastAsia"/>
          <w:bCs/>
          <w:color w:val="000000"/>
          <w:sz w:val="24"/>
        </w:rPr>
        <w:t>（</w:t>
      </w:r>
      <w:r>
        <w:rPr>
          <w:bCs/>
          <w:color w:val="000000"/>
          <w:sz w:val="24"/>
        </w:rPr>
        <w:t>1</w:t>
      </w:r>
      <w:r>
        <w:rPr>
          <w:rFonts w:hint="eastAsia"/>
          <w:bCs/>
          <w:color w:val="000000"/>
          <w:sz w:val="24"/>
        </w:rPr>
        <w:t>）对在交易所市场上市交易或挂牌转让的固定收益品种（含证券公司发行的短期公司债券，另有规</w:t>
      </w:r>
      <w:r>
        <w:rPr>
          <w:rFonts w:hint="eastAsia"/>
          <w:bCs/>
          <w:sz w:val="24"/>
        </w:rPr>
        <w:t>定的除外），选取第三方估值机构提供的相应品种当日的估值净价进行估值；</w:t>
      </w:r>
    </w:p>
    <w:p w14:paraId="0DC3E4CC" w14:textId="77777777" w:rsidR="00DD2567" w:rsidRDefault="00680E4C">
      <w:pPr>
        <w:spacing w:line="360" w:lineRule="auto"/>
        <w:ind w:firstLineChars="200" w:firstLine="480"/>
        <w:rPr>
          <w:sz w:val="24"/>
        </w:rPr>
      </w:pPr>
      <w:r>
        <w:rPr>
          <w:rFonts w:hint="eastAsia"/>
          <w:bCs/>
          <w:sz w:val="24"/>
        </w:rPr>
        <w:t>（</w:t>
      </w:r>
      <w:r>
        <w:rPr>
          <w:bCs/>
          <w:sz w:val="24"/>
        </w:rPr>
        <w:t>2</w:t>
      </w:r>
      <w:r>
        <w:rPr>
          <w:rFonts w:hint="eastAsia"/>
          <w:bCs/>
          <w:sz w:val="24"/>
        </w:rPr>
        <w:t>）交易所市场</w:t>
      </w:r>
      <w:r>
        <w:rPr>
          <w:rFonts w:hint="eastAsia"/>
          <w:sz w:val="24"/>
        </w:rPr>
        <w:t>上市交易的</w:t>
      </w:r>
      <w:r>
        <w:rPr>
          <w:rFonts w:hint="eastAsia"/>
          <w:bCs/>
          <w:sz w:val="24"/>
        </w:rPr>
        <w:t>可转换</w:t>
      </w:r>
      <w:r>
        <w:rPr>
          <w:rFonts w:hint="eastAsia"/>
          <w:sz w:val="24"/>
        </w:rPr>
        <w:t>债券</w:t>
      </w:r>
      <w:r>
        <w:rPr>
          <w:rFonts w:ascii="宋体" w:hAnsi="宋体" w:hint="eastAsia"/>
          <w:color w:val="000000"/>
          <w:sz w:val="24"/>
        </w:rPr>
        <w:t>，按估值日收盘价减去可转换债券收盘价中所含债券应收利息后得到的净价进行估值</w:t>
      </w:r>
      <w:r>
        <w:rPr>
          <w:rFonts w:hint="eastAsia"/>
          <w:sz w:val="24"/>
        </w:rPr>
        <w:t>；</w:t>
      </w:r>
    </w:p>
    <w:p w14:paraId="2F2D2234" w14:textId="77777777" w:rsidR="00DD2567" w:rsidRDefault="00680E4C">
      <w:pPr>
        <w:spacing w:line="360" w:lineRule="auto"/>
        <w:ind w:firstLineChars="200" w:firstLine="480"/>
        <w:rPr>
          <w:color w:val="000000"/>
          <w:sz w:val="24"/>
        </w:rPr>
      </w:pPr>
      <w:r>
        <w:rPr>
          <w:rFonts w:hint="eastAsia"/>
          <w:bCs/>
          <w:sz w:val="24"/>
        </w:rPr>
        <w:t>（</w:t>
      </w:r>
      <w:r>
        <w:rPr>
          <w:bCs/>
          <w:sz w:val="24"/>
        </w:rPr>
        <w:t>3</w:t>
      </w:r>
      <w:r>
        <w:rPr>
          <w:rFonts w:hint="eastAsia"/>
          <w:bCs/>
          <w:sz w:val="24"/>
        </w:rPr>
        <w:t>）对在</w:t>
      </w:r>
      <w:r>
        <w:rPr>
          <w:rFonts w:hint="eastAsia"/>
          <w:sz w:val="24"/>
        </w:rPr>
        <w:t>交易所</w:t>
      </w:r>
      <w:r>
        <w:rPr>
          <w:rFonts w:hint="eastAsia"/>
          <w:bCs/>
          <w:sz w:val="24"/>
        </w:rPr>
        <w:t>市场挂牌转让</w:t>
      </w:r>
      <w:r>
        <w:rPr>
          <w:rFonts w:hint="eastAsia"/>
          <w:sz w:val="24"/>
        </w:rPr>
        <w:t>的资产支持证券</w:t>
      </w:r>
      <w:r>
        <w:rPr>
          <w:rFonts w:hint="eastAsia"/>
          <w:bCs/>
          <w:sz w:val="24"/>
        </w:rPr>
        <w:t>和私募债券（含中小企业私募债券、并购重组私募债券），</w:t>
      </w:r>
      <w:r>
        <w:rPr>
          <w:rFonts w:hint="eastAsia"/>
          <w:sz w:val="24"/>
        </w:rPr>
        <w:t>采用估值技术确定公允价值，在估值技术难以可</w:t>
      </w:r>
      <w:r>
        <w:rPr>
          <w:rFonts w:hint="eastAsia"/>
          <w:sz w:val="24"/>
        </w:rPr>
        <w:lastRenderedPageBreak/>
        <w:t>靠计量公允价值的情况下，按成本估值。</w:t>
      </w:r>
    </w:p>
    <w:p w14:paraId="7185F24A" w14:textId="77777777" w:rsidR="00DD2567" w:rsidRDefault="00680E4C">
      <w:pPr>
        <w:spacing w:line="348" w:lineRule="auto"/>
        <w:ind w:firstLineChars="200" w:firstLine="480"/>
        <w:rPr>
          <w:bCs/>
          <w:sz w:val="24"/>
        </w:rPr>
      </w:pPr>
      <w:r>
        <w:rPr>
          <w:bCs/>
          <w:color w:val="000000"/>
          <w:sz w:val="24"/>
        </w:rPr>
        <w:t>3</w:t>
      </w:r>
      <w:r>
        <w:rPr>
          <w:bCs/>
          <w:color w:val="000000"/>
          <w:sz w:val="24"/>
        </w:rPr>
        <w:t>、</w:t>
      </w:r>
      <w:r>
        <w:rPr>
          <w:bCs/>
          <w:sz w:val="24"/>
        </w:rPr>
        <w:t>银行间市场交易的固定收益品种，</w:t>
      </w:r>
      <w:r>
        <w:rPr>
          <w:rFonts w:hint="eastAsia"/>
          <w:bCs/>
          <w:sz w:val="24"/>
        </w:rPr>
        <w:t>选取第三方估值机构提供的相应品种当日的估值净价进行估值</w:t>
      </w:r>
      <w:r>
        <w:rPr>
          <w:bCs/>
          <w:sz w:val="24"/>
        </w:rPr>
        <w:t>。</w:t>
      </w:r>
    </w:p>
    <w:p w14:paraId="3AACF313" w14:textId="77777777" w:rsidR="00DD2567" w:rsidRDefault="00680E4C">
      <w:pPr>
        <w:spacing w:line="348" w:lineRule="auto"/>
        <w:ind w:firstLineChars="200" w:firstLine="480"/>
        <w:rPr>
          <w:rFonts w:ascii="宋体" w:hAnsi="宋体"/>
          <w:bCs/>
          <w:sz w:val="24"/>
        </w:rPr>
      </w:pPr>
      <w:r>
        <w:rPr>
          <w:rFonts w:ascii="宋体" w:hAnsi="宋体" w:hint="eastAsia"/>
          <w:bCs/>
          <w:sz w:val="24"/>
        </w:rPr>
        <w:t>4</w:t>
      </w:r>
      <w:r>
        <w:rPr>
          <w:rFonts w:ascii="宋体" w:hAnsi="宋体"/>
          <w:bCs/>
          <w:sz w:val="24"/>
        </w:rPr>
        <w:t>、处于未上市期间的有价证券应区分如下情况处理：</w:t>
      </w:r>
    </w:p>
    <w:p w14:paraId="17F5F2DA" w14:textId="77777777" w:rsidR="00DD2567" w:rsidRDefault="00680E4C">
      <w:pPr>
        <w:spacing w:line="348" w:lineRule="auto"/>
        <w:ind w:firstLineChars="200" w:firstLine="480"/>
        <w:rPr>
          <w:rFonts w:ascii="宋体" w:hAnsi="宋体"/>
          <w:bCs/>
          <w:sz w:val="24"/>
        </w:rPr>
      </w:pPr>
      <w:r>
        <w:rPr>
          <w:rFonts w:ascii="宋体" w:hAnsi="宋体"/>
          <w:bCs/>
          <w:sz w:val="24"/>
        </w:rPr>
        <w:t>（1）送股、转增股、配股和公开增发的新股，按估值日在证券交易所挂牌的同一股票的估值方法估值；该日无交易的，以最近一日的市价（收盘价）估值；</w:t>
      </w:r>
    </w:p>
    <w:p w14:paraId="51724B98" w14:textId="77777777" w:rsidR="00DD2567" w:rsidRDefault="00680E4C">
      <w:pPr>
        <w:spacing w:line="348" w:lineRule="auto"/>
        <w:ind w:firstLineChars="200" w:firstLine="480"/>
        <w:rPr>
          <w:rFonts w:ascii="宋体" w:hAnsi="宋体"/>
          <w:bCs/>
          <w:sz w:val="24"/>
        </w:rPr>
      </w:pPr>
      <w:r>
        <w:rPr>
          <w:rFonts w:ascii="宋体" w:hAnsi="宋体"/>
          <w:bCs/>
          <w:sz w:val="24"/>
        </w:rPr>
        <w:t>（2）首次公开发行未上市的股票、债券和权证，采用估值技术确定公允价值，在估值技术难以可靠计量公允价值的情况下，按成本估值。</w:t>
      </w:r>
    </w:p>
    <w:p w14:paraId="28CADB1D" w14:textId="77777777" w:rsidR="00DD2567" w:rsidRDefault="00680E4C">
      <w:pPr>
        <w:spacing w:line="348" w:lineRule="auto"/>
        <w:ind w:firstLineChars="200" w:firstLine="480"/>
        <w:rPr>
          <w:rFonts w:ascii="宋体" w:hAnsi="宋体"/>
          <w:bCs/>
          <w:sz w:val="24"/>
        </w:rPr>
      </w:pPr>
      <w:r>
        <w:rPr>
          <w:rFonts w:ascii="宋体" w:hAnsi="宋体"/>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0944B9A9" w14:textId="77777777" w:rsidR="00DD2567" w:rsidRDefault="00680E4C">
      <w:pPr>
        <w:spacing w:line="348" w:lineRule="auto"/>
        <w:ind w:firstLineChars="200" w:firstLine="480"/>
        <w:rPr>
          <w:rFonts w:ascii="宋体" w:hAnsi="宋体"/>
          <w:bCs/>
          <w:sz w:val="24"/>
        </w:rPr>
      </w:pPr>
      <w:r>
        <w:rPr>
          <w:rFonts w:ascii="宋体" w:hAnsi="宋体" w:hint="eastAsia"/>
          <w:bCs/>
          <w:sz w:val="24"/>
        </w:rPr>
        <w:t>5</w:t>
      </w:r>
      <w:r>
        <w:rPr>
          <w:rFonts w:ascii="宋体" w:hAnsi="宋体"/>
          <w:bCs/>
          <w:sz w:val="24"/>
        </w:rPr>
        <w:t>、</w:t>
      </w:r>
      <w:r>
        <w:rPr>
          <w:rFonts w:ascii="宋体" w:hAnsi="宋体" w:hint="eastAsia"/>
          <w:bCs/>
          <w:sz w:val="24"/>
        </w:rPr>
        <w:t>同一债券同时在两个或两个以上市场交易的，按债券所处的市场分别估值。</w:t>
      </w:r>
    </w:p>
    <w:p w14:paraId="2C933EDE" w14:textId="77777777" w:rsidR="00DD2567" w:rsidRDefault="00680E4C">
      <w:pPr>
        <w:spacing w:line="348" w:lineRule="auto"/>
        <w:ind w:firstLineChars="200" w:firstLine="480"/>
        <w:rPr>
          <w:rFonts w:ascii="宋体" w:hAnsi="宋体"/>
          <w:bCs/>
          <w:sz w:val="24"/>
        </w:rPr>
      </w:pPr>
      <w:r>
        <w:rPr>
          <w:rFonts w:ascii="宋体" w:hAnsi="宋体" w:hint="eastAsia"/>
          <w:bCs/>
          <w:sz w:val="24"/>
        </w:rPr>
        <w:t>6、基金投资的股指期货合约，一般以估值当日结算价进行估值，估值当日无结算价的，且最近交易日后经济环境未发生重大变化的，采用最近交易日结算价估值。</w:t>
      </w:r>
    </w:p>
    <w:p w14:paraId="27DFA683" w14:textId="77777777" w:rsidR="00DD2567" w:rsidRDefault="00680E4C">
      <w:pPr>
        <w:spacing w:line="348" w:lineRule="auto"/>
        <w:ind w:firstLineChars="200" w:firstLine="480"/>
        <w:rPr>
          <w:rFonts w:ascii="宋体" w:hAnsi="宋体"/>
          <w:bCs/>
          <w:sz w:val="24"/>
        </w:rPr>
      </w:pPr>
      <w:r>
        <w:rPr>
          <w:rFonts w:ascii="宋体" w:hAnsi="宋体" w:hint="eastAsia"/>
          <w:bCs/>
          <w:sz w:val="24"/>
        </w:rPr>
        <w:t>7、</w:t>
      </w:r>
      <w:r>
        <w:rPr>
          <w:rFonts w:ascii="宋体" w:hAnsi="宋体"/>
          <w:bCs/>
          <w:sz w:val="24"/>
        </w:rPr>
        <w:t>如有确凿证据表明按上述方法进行估值不能客观反映其公允价值的，基金管理人可根据具体情况与基金托管人商定后，按最能反映公允价值的价格估值。</w:t>
      </w:r>
    </w:p>
    <w:p w14:paraId="4A03BD97" w14:textId="77777777" w:rsidR="00DD2567" w:rsidRDefault="00680E4C">
      <w:pPr>
        <w:spacing w:line="348" w:lineRule="auto"/>
        <w:ind w:firstLineChars="200" w:firstLine="480"/>
        <w:rPr>
          <w:rFonts w:ascii="宋体" w:hAnsi="宋体"/>
          <w:kern w:val="0"/>
          <w:sz w:val="24"/>
        </w:rPr>
      </w:pPr>
      <w:r>
        <w:rPr>
          <w:rFonts w:ascii="宋体" w:hAnsi="宋体" w:hint="eastAsia"/>
          <w:bCs/>
          <w:sz w:val="24"/>
        </w:rPr>
        <w:t>8</w:t>
      </w:r>
      <w:r>
        <w:rPr>
          <w:rFonts w:ascii="宋体" w:hAnsi="宋体"/>
          <w:bCs/>
          <w:sz w:val="24"/>
        </w:rPr>
        <w:t>、相关法律法规以及监管部门有强制规定的，从其规定。如有新增事项，按国家最新规定估值。</w:t>
      </w:r>
    </w:p>
    <w:p w14:paraId="0C8D2712" w14:textId="77777777" w:rsidR="00DD2567" w:rsidRDefault="00680E4C">
      <w:pPr>
        <w:spacing w:line="348" w:lineRule="auto"/>
        <w:ind w:firstLineChars="200" w:firstLine="480"/>
        <w:rPr>
          <w:rFonts w:ascii="宋体" w:hAnsi="宋体"/>
          <w:kern w:val="0"/>
          <w:sz w:val="24"/>
        </w:rPr>
      </w:pPr>
      <w:r>
        <w:rPr>
          <w:rFonts w:ascii="宋体" w:hAnsi="宋体" w:hint="eastAsia"/>
          <w:kern w:val="0"/>
          <w:sz w:val="24"/>
        </w:rPr>
        <w:t>基金管理人、基金托管人发现基金估值违反《基金合同》订明的估值方法、程序以及相关法律法规的规定或者未能充分维护基金份额持有人利益时，发现方应及时通知对方，以约定的方法、程序和相关法律法规的规定进行估值，以维护基金份额持有人的利益。</w:t>
      </w:r>
    </w:p>
    <w:p w14:paraId="1E208F85" w14:textId="77777777" w:rsidR="00DD2567" w:rsidRDefault="00680E4C">
      <w:pPr>
        <w:spacing w:line="348" w:lineRule="auto"/>
        <w:ind w:firstLineChars="200" w:firstLine="480"/>
        <w:rPr>
          <w:rFonts w:ascii="宋体" w:hAnsi="宋体"/>
          <w:kern w:val="0"/>
          <w:sz w:val="24"/>
        </w:rPr>
      </w:pPr>
      <w:r>
        <w:rPr>
          <w:rFonts w:ascii="宋体" w:hAnsi="宋体" w:hint="eastAsia"/>
          <w:kern w:val="0"/>
          <w:sz w:val="24"/>
        </w:rPr>
        <w:t>基金资产净值计算和基金会计核算的义务由基金管理人承担。因此，就与本基金有关的会计问题，本基金的会计责任方是基金管理人。如经相关各方在平等基础上充分讨论后，仍无法达成一致的意见，基金管理人有权按照其对基金净值的计算结果对外予以公布。由此给基金份额持有人和基金造成的损失以及因该交易日基金资产净值计算顺延错误而引起的损失，由基金管理人负责赔偿。</w:t>
      </w:r>
    </w:p>
    <w:p w14:paraId="622E9AB6" w14:textId="77777777" w:rsidR="00DD2567" w:rsidRDefault="00680E4C">
      <w:pPr>
        <w:spacing w:line="348" w:lineRule="auto"/>
        <w:ind w:firstLineChars="200" w:firstLine="480"/>
        <w:rPr>
          <w:rFonts w:ascii="宋体" w:hAnsi="宋体"/>
          <w:kern w:val="0"/>
          <w:sz w:val="24"/>
        </w:rPr>
      </w:pPr>
      <w:r>
        <w:rPr>
          <w:rFonts w:ascii="宋体" w:hAnsi="宋体" w:hint="eastAsia"/>
          <w:kern w:val="0"/>
          <w:sz w:val="24"/>
        </w:rPr>
        <w:t>在符合上述估值方法的基础上，本基金各类份额净值、参考净值的具体计算</w:t>
      </w:r>
      <w:r>
        <w:rPr>
          <w:rFonts w:ascii="宋体" w:hAnsi="宋体" w:hint="eastAsia"/>
          <w:kern w:val="0"/>
          <w:sz w:val="24"/>
        </w:rPr>
        <w:lastRenderedPageBreak/>
        <w:t>方式应符合《基金合同》第五部分的相关约定。</w:t>
      </w:r>
    </w:p>
    <w:p w14:paraId="30F21734" w14:textId="77777777" w:rsidR="00DD2567" w:rsidRDefault="00680E4C">
      <w:pPr>
        <w:spacing w:line="348" w:lineRule="auto"/>
        <w:ind w:firstLineChars="200" w:firstLine="480"/>
        <w:rPr>
          <w:rFonts w:ascii="宋体" w:hAnsi="宋体"/>
          <w:kern w:val="0"/>
          <w:sz w:val="24"/>
        </w:rPr>
      </w:pPr>
      <w:r>
        <w:rPr>
          <w:rFonts w:ascii="宋体" w:hAnsi="宋体" w:hint="eastAsia"/>
          <w:kern w:val="0"/>
          <w:sz w:val="24"/>
        </w:rPr>
        <w:t>二、净值差错处理</w:t>
      </w:r>
    </w:p>
    <w:p w14:paraId="5270EC9F" w14:textId="77777777" w:rsidR="00DD2567" w:rsidRDefault="00680E4C">
      <w:pPr>
        <w:spacing w:line="348" w:lineRule="auto"/>
        <w:ind w:firstLineChars="200" w:firstLine="480"/>
        <w:rPr>
          <w:rFonts w:ascii="宋体" w:hAnsi="宋体"/>
          <w:kern w:val="0"/>
          <w:sz w:val="24"/>
        </w:rPr>
      </w:pPr>
      <w:r>
        <w:rPr>
          <w:rFonts w:ascii="宋体" w:hAnsi="宋体" w:hint="eastAsia"/>
          <w:kern w:val="0"/>
          <w:sz w:val="24"/>
        </w:rPr>
        <w:t>当发生净值计算错误时，由基金管理人负责处理，由此给基金份额持有人和基金造成损失的，由基金管理人对基金份额持有人或者基金先行支付赔偿金。基金管理人和基金托管人应根据实际情况界定双方承担的责任，经确认后按以下条款进行赔偿。</w:t>
      </w:r>
    </w:p>
    <w:p w14:paraId="51327B95" w14:textId="77777777" w:rsidR="00DD2567" w:rsidRDefault="00680E4C">
      <w:pPr>
        <w:tabs>
          <w:tab w:val="left" w:pos="1260"/>
        </w:tabs>
        <w:spacing w:line="348" w:lineRule="auto"/>
        <w:ind w:firstLineChars="200" w:firstLine="480"/>
        <w:rPr>
          <w:rFonts w:ascii="宋体" w:hAnsi="宋体"/>
          <w:kern w:val="0"/>
          <w:sz w:val="24"/>
        </w:rPr>
      </w:pPr>
      <w:r>
        <w:rPr>
          <w:rFonts w:ascii="宋体" w:hAnsi="宋体" w:hint="eastAsia"/>
          <w:kern w:val="0"/>
          <w:sz w:val="24"/>
        </w:rPr>
        <w:t>1、如采用本协议第八部分第一款</w:t>
      </w:r>
      <w:r>
        <w:rPr>
          <w:rFonts w:ascii="宋体" w:hAnsi="宋体"/>
          <w:kern w:val="0"/>
          <w:sz w:val="24"/>
        </w:rPr>
        <w:t>“</w:t>
      </w:r>
      <w:r>
        <w:rPr>
          <w:rFonts w:ascii="宋体" w:hAnsi="宋体" w:hint="eastAsia"/>
          <w:kern w:val="0"/>
          <w:sz w:val="24"/>
        </w:rPr>
        <w:t>基金资产净值及基金份额净值的计算与复核</w:t>
      </w:r>
      <w:r>
        <w:rPr>
          <w:rFonts w:ascii="宋体" w:hAnsi="宋体"/>
          <w:kern w:val="0"/>
          <w:sz w:val="24"/>
        </w:rPr>
        <w:t>”</w:t>
      </w:r>
      <w:r>
        <w:rPr>
          <w:rFonts w:ascii="宋体" w:hAnsi="宋体" w:hint="eastAsia"/>
          <w:kern w:val="0"/>
          <w:sz w:val="24"/>
        </w:rPr>
        <w:t>中估值方法的第</w:t>
      </w:r>
      <w:r>
        <w:rPr>
          <w:rFonts w:ascii="宋体" w:hAnsi="宋体"/>
          <w:kern w:val="0"/>
          <w:sz w:val="24"/>
        </w:rPr>
        <w:t>1</w:t>
      </w:r>
      <w:r>
        <w:rPr>
          <w:rFonts w:ascii="宋体" w:hAnsi="宋体" w:hint="eastAsia"/>
          <w:kern w:val="0"/>
          <w:sz w:val="24"/>
        </w:rPr>
        <w:t>－5项进行处理时，若基金管理人净值计算出错，基金托管人在复核过程中没有发现，且造成基金份额持有人损失的，应根据法律法规的规定对投资者或基金支付赔偿金，就实际向投资者或基金支付的赔偿金额，由基金管理人与基金托管人按照管理费率和托管费率的比例各自承担相应的责任；</w:t>
      </w:r>
    </w:p>
    <w:p w14:paraId="18BBEB95" w14:textId="77777777" w:rsidR="00DD2567" w:rsidRDefault="00680E4C">
      <w:pPr>
        <w:tabs>
          <w:tab w:val="left" w:pos="1260"/>
        </w:tabs>
        <w:spacing w:line="348" w:lineRule="auto"/>
        <w:ind w:firstLineChars="200" w:firstLine="480"/>
        <w:rPr>
          <w:rFonts w:ascii="宋体" w:hAnsi="宋体"/>
          <w:kern w:val="0"/>
          <w:sz w:val="24"/>
        </w:rPr>
      </w:pPr>
      <w:r>
        <w:rPr>
          <w:rFonts w:ascii="宋体" w:hAnsi="宋体" w:hint="eastAsia"/>
          <w:kern w:val="0"/>
          <w:sz w:val="24"/>
        </w:rPr>
        <w:t>2、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以及因该交易日基金资产净值计算顺延错误而引起的损失，由基金管理人负责赔付，基金托管人不负赔偿责任；</w:t>
      </w:r>
    </w:p>
    <w:p w14:paraId="7C496E8B" w14:textId="77777777" w:rsidR="00DD2567" w:rsidRDefault="00680E4C">
      <w:pPr>
        <w:tabs>
          <w:tab w:val="left" w:pos="1260"/>
        </w:tabs>
        <w:spacing w:line="348" w:lineRule="auto"/>
        <w:ind w:firstLineChars="200" w:firstLine="480"/>
        <w:rPr>
          <w:rFonts w:ascii="宋体" w:hAnsi="宋体"/>
          <w:kern w:val="0"/>
          <w:sz w:val="24"/>
        </w:rPr>
      </w:pPr>
      <w:r>
        <w:rPr>
          <w:rFonts w:ascii="宋体" w:hAnsi="宋体" w:hint="eastAsia"/>
          <w:kern w:val="0"/>
          <w:sz w:val="24"/>
        </w:rPr>
        <w:t>3、基金管理人、基金托管人按股票估值方法的第7项进行估值时，所造成的误差不作为基金份额净值错误处理。</w:t>
      </w:r>
    </w:p>
    <w:p w14:paraId="2822CC46" w14:textId="77777777" w:rsidR="00DD2567" w:rsidRDefault="00680E4C">
      <w:pPr>
        <w:tabs>
          <w:tab w:val="left" w:pos="1260"/>
        </w:tabs>
        <w:spacing w:line="348" w:lineRule="auto"/>
        <w:ind w:firstLineChars="200" w:firstLine="480"/>
        <w:rPr>
          <w:rFonts w:ascii="宋体" w:hAnsi="宋体"/>
          <w:kern w:val="0"/>
          <w:sz w:val="24"/>
        </w:rPr>
      </w:pPr>
      <w:r>
        <w:rPr>
          <w:rFonts w:ascii="宋体" w:hAnsi="宋体" w:hint="eastAsia"/>
          <w:kern w:val="0"/>
          <w:sz w:val="24"/>
        </w:rPr>
        <w:t>由于不可抗力原因或交易所及登记结算公司发送的数据错误，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由此造成的影响。</w:t>
      </w:r>
    </w:p>
    <w:p w14:paraId="5A0363FB" w14:textId="77777777" w:rsidR="00DD2567" w:rsidRDefault="00680E4C">
      <w:pPr>
        <w:tabs>
          <w:tab w:val="left" w:pos="1260"/>
        </w:tabs>
        <w:spacing w:line="360" w:lineRule="auto"/>
        <w:ind w:firstLineChars="200" w:firstLine="480"/>
        <w:rPr>
          <w:rFonts w:ascii="宋体" w:hAnsi="宋体"/>
          <w:kern w:val="0"/>
          <w:sz w:val="24"/>
        </w:rPr>
      </w:pPr>
      <w:r>
        <w:rPr>
          <w:rFonts w:ascii="宋体" w:hAnsi="宋体" w:hint="eastAsia"/>
          <w:kern w:val="0"/>
          <w:sz w:val="24"/>
        </w:rPr>
        <w:t>针对净值差错处理，如果法律法规或证监会有新的规定，则按新的规定执行；如果行业有通行做法，在不违背法律法规且不损害投资者利益的前提下，双方应本着平等和保护基金份额持有人利益的原则重新协商确定处理原则。</w:t>
      </w:r>
    </w:p>
    <w:p w14:paraId="4F1F8A1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三、暂停估值与公告基金份额净值的情形</w:t>
      </w:r>
    </w:p>
    <w:p w14:paraId="08029D5C" w14:textId="77777777" w:rsidR="00DD2567" w:rsidRDefault="00680E4C">
      <w:pPr>
        <w:spacing w:line="360" w:lineRule="auto"/>
        <w:ind w:firstLineChars="200" w:firstLine="480"/>
        <w:rPr>
          <w:rFonts w:ascii="宋体" w:hAnsi="宋体"/>
          <w:kern w:val="0"/>
          <w:sz w:val="24"/>
        </w:rPr>
      </w:pPr>
      <w:r>
        <w:rPr>
          <w:rFonts w:ascii="宋体" w:hAnsi="宋体"/>
          <w:kern w:val="0"/>
          <w:sz w:val="24"/>
        </w:rPr>
        <w:t>1</w:t>
      </w:r>
      <w:r>
        <w:rPr>
          <w:rFonts w:ascii="宋体" w:hAnsi="宋体" w:hint="eastAsia"/>
          <w:kern w:val="0"/>
          <w:sz w:val="24"/>
        </w:rPr>
        <w:t>、基金投资所涉及的证券、期货交易所遇法定节假日或因其他原因暂停营业时；</w:t>
      </w:r>
    </w:p>
    <w:p w14:paraId="675B7A95" w14:textId="77777777" w:rsidR="00DD2567" w:rsidRDefault="00680E4C">
      <w:pPr>
        <w:spacing w:line="360" w:lineRule="auto"/>
        <w:ind w:firstLineChars="200" w:firstLine="480"/>
        <w:rPr>
          <w:rFonts w:ascii="宋体" w:hAnsi="宋体"/>
          <w:kern w:val="0"/>
          <w:sz w:val="24"/>
        </w:rPr>
      </w:pPr>
      <w:r>
        <w:rPr>
          <w:rFonts w:ascii="宋体" w:hAnsi="宋体"/>
          <w:kern w:val="0"/>
          <w:sz w:val="24"/>
        </w:rPr>
        <w:t>2</w:t>
      </w:r>
      <w:r>
        <w:rPr>
          <w:rFonts w:ascii="宋体" w:hAnsi="宋体" w:hint="eastAsia"/>
          <w:kern w:val="0"/>
          <w:sz w:val="24"/>
        </w:rPr>
        <w:t>、因不可抗力或其他情形致使基金管理人、基金托管人无法准确评估基金资产价值时；</w:t>
      </w:r>
    </w:p>
    <w:p w14:paraId="3B7A8DC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lastRenderedPageBreak/>
        <w:t>3、法律法规规定、中国证监会或《基金合同》认定的其他情形。</w:t>
      </w:r>
    </w:p>
    <w:p w14:paraId="679D06F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四、基金会计制度</w:t>
      </w:r>
    </w:p>
    <w:p w14:paraId="0E213A7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按国家有关部门制定的会计制度执行。</w:t>
      </w:r>
    </w:p>
    <w:p w14:paraId="2BCD20C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五、基金账册的建立</w:t>
      </w:r>
    </w:p>
    <w:p w14:paraId="776E5C0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5FCEA462"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六、会计数据和财务指标的核对</w:t>
      </w:r>
    </w:p>
    <w:p w14:paraId="1585240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双方应每个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14:paraId="2FC43E5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七、基金定期报告的编制和复核</w:t>
      </w:r>
    </w:p>
    <w:p w14:paraId="16987DF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基金财务报表由基金管理人和基金托管人每月分别独立编制。月度报表的编制，应于每月终了后5个工作日内完成。定期报告文件应按中国</w:t>
      </w:r>
      <w:r>
        <w:rPr>
          <w:rFonts w:ascii="宋体" w:hAnsi="宋体"/>
          <w:kern w:val="0"/>
          <w:sz w:val="24"/>
        </w:rPr>
        <w:t>证监会</w:t>
      </w:r>
      <w:r>
        <w:rPr>
          <w:rFonts w:ascii="宋体" w:hAnsi="宋体" w:hint="eastAsia"/>
          <w:kern w:val="0"/>
          <w:sz w:val="24"/>
        </w:rPr>
        <w:t>公布的《证券投资基金信息披露管理办法》要求公告。季度报表的编制，应于每季度终了后1</w:t>
      </w:r>
      <w:r>
        <w:rPr>
          <w:rFonts w:ascii="宋体" w:hAnsi="宋体"/>
          <w:kern w:val="0"/>
          <w:sz w:val="24"/>
        </w:rPr>
        <w:t>5</w:t>
      </w:r>
      <w:r>
        <w:rPr>
          <w:rFonts w:ascii="宋体" w:hAnsi="宋体" w:hint="eastAsia"/>
          <w:kern w:val="0"/>
          <w:sz w:val="24"/>
        </w:rPr>
        <w:t>个工作日内完成；更新的招募说明书在《基金合同》生效后每6个月公告一次，于截止日后的45日内公告。半年度报告在基金会计年度前6个月结束后的</w:t>
      </w:r>
      <w:r>
        <w:rPr>
          <w:rFonts w:ascii="宋体" w:hAnsi="宋体"/>
          <w:kern w:val="0"/>
          <w:sz w:val="24"/>
        </w:rPr>
        <w:t>60</w:t>
      </w:r>
      <w:r>
        <w:rPr>
          <w:rFonts w:ascii="宋体" w:hAnsi="宋体" w:hint="eastAsia"/>
          <w:kern w:val="0"/>
          <w:sz w:val="24"/>
        </w:rPr>
        <w:t>日内公告；年度报告在会计年度结束后90日内公告。</w:t>
      </w:r>
    </w:p>
    <w:p w14:paraId="7325A8A6"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在月度报表完成当日，以约定方式将有关报表提供基金托管人；基金托管人在2个工作日内进行复核，并将复核结果及时以约定方式通知基金管理人。基金管理人在季度报表完成当日，以约定方式将有关报表提供基金托管人；基金托管人在5个工作日内进行复核，并将复核结果以约定方式通知基金管理人。基金管理人在更新招募说明书完成当日，将有关报告提供基金托管人，基金托管人在收到15日内进行复核，并将复核结果以约定方式通知基金管理人。基金管理人在半年度报告完成当日，将有关报告提供基金托管人，基金托管人在收到后20日内进行复核，并将复核结果以约定方式通知基金管理人。基金管理人在年度报告完成当日，将有关报告提供基金托管人，基金托管人在收到后30日</w:t>
      </w:r>
      <w:r>
        <w:rPr>
          <w:rFonts w:ascii="宋体" w:hAnsi="宋体" w:hint="eastAsia"/>
          <w:kern w:val="0"/>
          <w:sz w:val="24"/>
        </w:rPr>
        <w:lastRenderedPageBreak/>
        <w:t>内复核，并将复核结果以约定方式通知基金管理人。基金托管人在复核过程中，发现相关各方的报表存在不符时，基金管理人和基金托管人应共同查明原因，进行调整，调整以相关各方认可的账务处理方式为准。如果基金管理人与基金托管人不能于应当发布公告之日前就相关报表达成一致，基金管理人有权按照其编制的报表对外发布公告，基金托管人有权就相关情况报证监会备案。</w:t>
      </w:r>
    </w:p>
    <w:p w14:paraId="06C3D76D"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基金托管人在对财务报表、季度报告、半年度报告或年度报告复核完毕后，可盖章确认、或出具相应的复核确认书或以其他双方约定的方式确认，以备有权机构对相关文件审核检查。</w:t>
      </w:r>
    </w:p>
    <w:p w14:paraId="222C3276"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第六部分基金份额持有人名册的登记与保管</w:t>
      </w:r>
    </w:p>
    <w:p w14:paraId="1498A5B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基金管理人可委托基金注册登记机构登记和保管基金份额持有人名册。基金份额持有人名册的内容包括但不限于基金份额持有人的名称和持有的基金份额。</w:t>
      </w:r>
    </w:p>
    <w:p w14:paraId="3F1B51CD"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份额持有人名册，包括基金募集期结束并确认认购申请后的基金份额持有人名册、基金份额持有人大会权益登记日的基金份额持有人名册、每年6月30日、12月31日的基金份额持有人名册，由基金注册登记机构负责编制和保管，并对基金份额持有人名册的真实性、完整性和准确性负责。</w:t>
      </w:r>
    </w:p>
    <w:p w14:paraId="161DEEE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基金管理人应根据基金托管人的要求定期和不定期向基金托管人提供基金份额持有人名册。</w:t>
      </w:r>
    </w:p>
    <w:p w14:paraId="1562EE0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一、基金管理人于《基金合同》生效日及《基金合同》终止日后10个工作日内向基金托管人提供由注册登记机构编制的基金份额持有人名册；</w:t>
      </w:r>
    </w:p>
    <w:p w14:paraId="0F537CA2"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二、基金管理人于基金份额持有人大会权利登记日后5个工作日内向基金托管人提供由注册登记机构编制的基金份额持有人名册；</w:t>
      </w:r>
    </w:p>
    <w:p w14:paraId="10E11BC3"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三、基金管理人于每年</w:t>
      </w:r>
      <w:r>
        <w:rPr>
          <w:rFonts w:ascii="宋体" w:hAnsi="宋体" w:hint="eastAsia"/>
          <w:kern w:val="0"/>
          <w:sz w:val="24"/>
          <w:lang w:val="zh-CN"/>
        </w:rPr>
        <w:t>最后一个交易日</w:t>
      </w:r>
      <w:r>
        <w:rPr>
          <w:rFonts w:ascii="宋体" w:hAnsi="宋体" w:hint="eastAsia"/>
          <w:kern w:val="0"/>
          <w:sz w:val="24"/>
        </w:rPr>
        <w:t>后10个工作日内向基金托管人提供由注册登记机构编制的基金份额持有人名册；</w:t>
      </w:r>
    </w:p>
    <w:p w14:paraId="26F2B134"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四、除上述约定时间外，如果确因业务需要，基金托管人与基金管理人商议一致后，由基金管理人向基金托管人提供由注册登记机构编制的基金份额持有人名册。</w:t>
      </w:r>
    </w:p>
    <w:p w14:paraId="4784D58E"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托管人以电子版形式妥善保管基金份额持有人名册，并定期刻成光盘备份，保存期限为15年。基金托管人不得将所保管的基金份额持有人名册用于基金托管业务以外的其他用途，并应遵守保密义务。若基金管理人或基金托管人由</w:t>
      </w:r>
      <w:r>
        <w:rPr>
          <w:rFonts w:ascii="宋体" w:hAnsi="宋体" w:hint="eastAsia"/>
          <w:kern w:val="0"/>
          <w:sz w:val="24"/>
        </w:rPr>
        <w:lastRenderedPageBreak/>
        <w:t>于自身原因无法妥善保管基金份额持有人名册，应按有关法规规定各自承担相应的责任。</w:t>
      </w:r>
    </w:p>
    <w:p w14:paraId="4E01953B" w14:textId="77777777" w:rsidR="00DD2567" w:rsidRDefault="00680E4C">
      <w:pPr>
        <w:pStyle w:val="2"/>
        <w:spacing w:before="200" w:after="200" w:line="360" w:lineRule="auto"/>
        <w:ind w:firstLineChars="200" w:firstLine="482"/>
        <w:rPr>
          <w:rFonts w:eastAsia="宋体"/>
          <w:sz w:val="24"/>
          <w:szCs w:val="24"/>
        </w:rPr>
      </w:pPr>
      <w:bookmarkStart w:id="444" w:name="_Toc297030280"/>
      <w:bookmarkStart w:id="445" w:name="_Toc301273728"/>
      <w:bookmarkStart w:id="446" w:name="_Toc301543300"/>
      <w:bookmarkStart w:id="447" w:name="_Toc314487634"/>
      <w:r>
        <w:rPr>
          <w:rFonts w:eastAsia="宋体" w:hint="eastAsia"/>
          <w:sz w:val="24"/>
          <w:szCs w:val="24"/>
        </w:rPr>
        <w:t>第七部分争议解决方式</w:t>
      </w:r>
      <w:bookmarkEnd w:id="444"/>
      <w:bookmarkEnd w:id="445"/>
      <w:bookmarkEnd w:id="446"/>
      <w:bookmarkEnd w:id="447"/>
    </w:p>
    <w:p w14:paraId="2DC6E0C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相关各方当事人同意，因本协议而产生的或与本协议有关的一切争议，应通过友好协商或者调解解决。托管协议当事人不愿通过协商、调解解决或者协商、调解不成的，任何一方当事人均有权将争议提交中国国际经济贸易仲裁委员会，根据该会当时有效的仲裁规则进行仲裁，仲裁的地点在上海，仲裁裁决是终局的，并对相关各方当事人均有约束力。仲裁费用由败诉方承担。</w:t>
      </w:r>
    </w:p>
    <w:p w14:paraId="41AB4003"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争议处理期间，相关各方当事人应恪守基金管理人和基金托管人职责，继续忠实、勤勉、尽责地履行《基金合同》和本协议规定的义务，维护基金份额持有人的合法权益。</w:t>
      </w:r>
    </w:p>
    <w:p w14:paraId="61C3929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本协议受中华人民共和国法律管辖。</w:t>
      </w:r>
    </w:p>
    <w:p w14:paraId="26DCCE4E" w14:textId="77777777" w:rsidR="00DD2567" w:rsidRDefault="00680E4C">
      <w:pPr>
        <w:pStyle w:val="2"/>
        <w:spacing w:before="200" w:after="200" w:line="360" w:lineRule="auto"/>
        <w:ind w:firstLineChars="200" w:firstLine="482"/>
        <w:rPr>
          <w:rFonts w:eastAsia="宋体"/>
          <w:sz w:val="24"/>
          <w:szCs w:val="24"/>
        </w:rPr>
      </w:pPr>
      <w:r>
        <w:rPr>
          <w:rFonts w:eastAsia="宋体" w:hint="eastAsia"/>
          <w:sz w:val="24"/>
          <w:szCs w:val="24"/>
        </w:rPr>
        <w:t>第八部分托管协议的变更、终止与基金财产的清算</w:t>
      </w:r>
    </w:p>
    <w:p w14:paraId="7FE3596E" w14:textId="77777777" w:rsidR="00DD2567" w:rsidRDefault="00680E4C">
      <w:pPr>
        <w:spacing w:line="360" w:lineRule="auto"/>
        <w:ind w:firstLineChars="200" w:firstLine="480"/>
        <w:rPr>
          <w:rFonts w:ascii="宋体" w:hAnsi="宋体"/>
          <w:kern w:val="0"/>
          <w:sz w:val="24"/>
        </w:rPr>
      </w:pPr>
      <w:bookmarkStart w:id="448" w:name="_Toc510842757"/>
      <w:r>
        <w:rPr>
          <w:rFonts w:ascii="宋体" w:hAnsi="宋体" w:hint="eastAsia"/>
          <w:kern w:val="0"/>
          <w:sz w:val="24"/>
        </w:rPr>
        <w:t>一、基金托管协议的变更</w:t>
      </w:r>
    </w:p>
    <w:bookmarkEnd w:id="448"/>
    <w:p w14:paraId="4FEABBA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本协议双方当事人经协商一致，可以对协议进行修改。修改后的新协议，其内容不得与《基金合同》的规定有任何冲突。修改后的新协议，应报中国证监会备案。</w:t>
      </w:r>
    </w:p>
    <w:p w14:paraId="7B2E0F0B"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二、基金托管协议的终止</w:t>
      </w:r>
    </w:p>
    <w:p w14:paraId="3104123B"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1、《基金合同》终止；</w:t>
      </w:r>
    </w:p>
    <w:p w14:paraId="043C376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2、基金托管人解散、依法被撤销、破产，被依法取消基金托管资格或因其他事由造成其他基金托管人接管基金财产；</w:t>
      </w:r>
    </w:p>
    <w:p w14:paraId="152544D4"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3、基金管理人解散、依法被撤销、破产，被依法取消基金管理资格或因其他事由造成其他基金管理人接管基金管理权；</w:t>
      </w:r>
    </w:p>
    <w:p w14:paraId="51CE428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4、发生《基金法》、《销售办法》、《运作办法》或其他法律法规规定的终止事项。</w:t>
      </w:r>
    </w:p>
    <w:p w14:paraId="70DAC96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三、基金财产的清算</w:t>
      </w:r>
    </w:p>
    <w:p w14:paraId="146E1DA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1、基金财产清算小组</w:t>
      </w:r>
    </w:p>
    <w:p w14:paraId="5F74A5B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在基金财产清算小组接管基金财产之前，基金管理人和基金托管人应按照</w:t>
      </w:r>
      <w:r>
        <w:rPr>
          <w:rFonts w:ascii="宋体" w:hAnsi="宋体" w:hint="eastAsia"/>
          <w:kern w:val="0"/>
          <w:sz w:val="24"/>
        </w:rPr>
        <w:lastRenderedPageBreak/>
        <w:t>《基金合同》和本协议的规定继续履行保护基金资产安全的职责。</w:t>
      </w:r>
    </w:p>
    <w:p w14:paraId="190789EC"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（1）基金财产清算小组组成：基金财产清算小组成员由基金管理人、基金托管人、具有从事证券相关业务资格的注册会计师、律师以及中国证监会指定的人员组成。基金财产清算小组可以聘用必要的工作人员。</w:t>
      </w:r>
    </w:p>
    <w:p w14:paraId="5142EE0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（2）基金财产清算小组职责：基金财产清算小组负责基金财产的保管、清理、估价、变现和分配。基金财产清算小组可以依法进行必要的民事活动。</w:t>
      </w:r>
    </w:p>
    <w:p w14:paraId="0FB2BE2B"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2、基金财产清算程序</w:t>
      </w:r>
    </w:p>
    <w:p w14:paraId="5736248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（1）《基金合同》终止后，由基金财产清算小组统一接管基金财产；</w:t>
      </w:r>
    </w:p>
    <w:p w14:paraId="53233B22"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（2）基金财产清算组对基金财产和债权债务进行清理和确认；</w:t>
      </w:r>
    </w:p>
    <w:p w14:paraId="09A07221"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（3）对基金财产进行估值和变现；</w:t>
      </w:r>
    </w:p>
    <w:p w14:paraId="6B47093E"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（4）基金清算组做出清算报告；</w:t>
      </w:r>
    </w:p>
    <w:p w14:paraId="1F3A84A4"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（5）会计师事务所对清算报告进行外部审计；</w:t>
      </w:r>
    </w:p>
    <w:p w14:paraId="22FF3776"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（6）律师事务所对清算报告出具法律意见书；</w:t>
      </w:r>
    </w:p>
    <w:p w14:paraId="33FF5FF7"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（7）将基金清算报告中国证监会备案并公告；</w:t>
      </w:r>
    </w:p>
    <w:p w14:paraId="6711661D"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（8）公布基金清算公告；</w:t>
      </w:r>
    </w:p>
    <w:p w14:paraId="2187492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（9）对基金剩余财产进行分配。</w:t>
      </w:r>
    </w:p>
    <w:p w14:paraId="5E0DC56A"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3、清算费用</w:t>
      </w:r>
    </w:p>
    <w:p w14:paraId="515B5D7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清算费用是指基金财产清算小组在进行基金财产清算过程中发生的所有合理费用，清算费用由基金财产清算小组优先从基金财产中支付。</w:t>
      </w:r>
    </w:p>
    <w:p w14:paraId="391D2533"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4、基金剩余财产的分配</w:t>
      </w:r>
    </w:p>
    <w:p w14:paraId="2E28EB3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基金财产按如下顺序进行清偿</w:t>
      </w:r>
    </w:p>
    <w:p w14:paraId="72D5A1EE"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（1）支付基金财产清算费用；</w:t>
      </w:r>
    </w:p>
    <w:p w14:paraId="08B223B2"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（2）缴纳基金所欠税款；</w:t>
      </w:r>
    </w:p>
    <w:p w14:paraId="35101D6F"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（3）清偿基金债务；</w:t>
      </w:r>
    </w:p>
    <w:p w14:paraId="464606E3"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（4）清算后如有余额，按基金份额持有人持有的基金份额比例进行分配。</w:t>
      </w:r>
    </w:p>
    <w:p w14:paraId="07830AF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基金财产未按前款（1）－（3）项规定清偿前，不得分配给基金份额持有人。</w:t>
      </w:r>
    </w:p>
    <w:p w14:paraId="49482056" w14:textId="77777777" w:rsidR="00DD2567" w:rsidRDefault="00680E4C">
      <w:pPr>
        <w:spacing w:line="360" w:lineRule="auto"/>
        <w:ind w:firstLineChars="200" w:firstLine="480"/>
        <w:rPr>
          <w:rFonts w:ascii="宋体" w:hAnsi="宋体"/>
          <w:bCs/>
          <w:sz w:val="24"/>
        </w:rPr>
      </w:pPr>
      <w:r>
        <w:rPr>
          <w:rFonts w:ascii="宋体" w:hAnsi="宋体" w:hint="eastAsia"/>
          <w:kern w:val="0"/>
          <w:sz w:val="24"/>
        </w:rPr>
        <w:t>5、</w:t>
      </w:r>
      <w:r>
        <w:rPr>
          <w:rFonts w:ascii="宋体" w:hAnsi="宋体"/>
          <w:bCs/>
          <w:sz w:val="24"/>
        </w:rPr>
        <w:t>基金财产清算的期限为</w:t>
      </w:r>
      <w:r>
        <w:rPr>
          <w:rFonts w:ascii="宋体" w:hAnsi="宋体" w:hint="eastAsia"/>
          <w:bCs/>
          <w:sz w:val="24"/>
        </w:rPr>
        <w:t>6</w:t>
      </w:r>
      <w:r>
        <w:rPr>
          <w:rFonts w:ascii="宋体" w:hAnsi="宋体"/>
          <w:bCs/>
          <w:sz w:val="24"/>
        </w:rPr>
        <w:t>个月。</w:t>
      </w:r>
    </w:p>
    <w:p w14:paraId="6F0D5A15"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6、基金财产清算的公告</w:t>
      </w:r>
    </w:p>
    <w:p w14:paraId="6E45C579"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清算过程中的有关重大事项须及时公告。基金财产清算组做出的清算报告经</w:t>
      </w:r>
      <w:r>
        <w:rPr>
          <w:rFonts w:ascii="宋体" w:hAnsi="宋体" w:hint="eastAsia"/>
          <w:kern w:val="0"/>
          <w:sz w:val="24"/>
        </w:rPr>
        <w:lastRenderedPageBreak/>
        <w:t>会计师事务所审计、律师事务所出具法律意见书后，报中国证监会备案并公告。</w:t>
      </w:r>
      <w:r>
        <w:rPr>
          <w:rFonts w:ascii="宋体" w:hAnsi="宋体"/>
          <w:bCs/>
          <w:kern w:val="0"/>
          <w:sz w:val="24"/>
        </w:rPr>
        <w:t>基金财产清算公告于基金财产清算报告报中国证监会备案后</w:t>
      </w:r>
      <w:r>
        <w:rPr>
          <w:rFonts w:ascii="宋体" w:hAnsi="宋体" w:hint="eastAsia"/>
          <w:bCs/>
          <w:kern w:val="0"/>
          <w:sz w:val="24"/>
        </w:rPr>
        <w:t>5</w:t>
      </w:r>
      <w:r>
        <w:rPr>
          <w:rFonts w:ascii="宋体" w:hAnsi="宋体"/>
          <w:bCs/>
          <w:kern w:val="0"/>
          <w:sz w:val="24"/>
        </w:rPr>
        <w:t>个工作日内由基金财产清算小组进行公告。</w:t>
      </w:r>
    </w:p>
    <w:p w14:paraId="05B597E4"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7、基金财产清算账册及文件的保存</w:t>
      </w:r>
    </w:p>
    <w:p w14:paraId="2290ACB8" w14:textId="77777777" w:rsidR="00DD2567" w:rsidRDefault="00680E4C">
      <w:pPr>
        <w:spacing w:line="360" w:lineRule="auto"/>
        <w:ind w:firstLineChars="200" w:firstLine="480"/>
        <w:rPr>
          <w:rFonts w:ascii="宋体" w:hAnsi="宋体"/>
          <w:kern w:val="0"/>
          <w:sz w:val="24"/>
        </w:rPr>
      </w:pPr>
      <w:r>
        <w:rPr>
          <w:rFonts w:ascii="宋体" w:hAnsi="宋体" w:hint="eastAsia"/>
          <w:kern w:val="0"/>
          <w:sz w:val="24"/>
        </w:rPr>
        <w:t>基金财产清算账册及有关文件由基金托管人保存期限不少于15年。</w:t>
      </w:r>
    </w:p>
    <w:p w14:paraId="233ECCBD" w14:textId="77777777" w:rsidR="00DD2567" w:rsidRDefault="00DD2567">
      <w:pPr>
        <w:spacing w:line="360" w:lineRule="auto"/>
        <w:ind w:firstLineChars="200" w:firstLine="480"/>
        <w:rPr>
          <w:rFonts w:ascii="宋体" w:hAnsi="宋体"/>
          <w:sz w:val="24"/>
        </w:rPr>
      </w:pPr>
    </w:p>
    <w:p w14:paraId="3B41237C" w14:textId="77777777" w:rsidR="00DD2567" w:rsidRDefault="00DD2567">
      <w:pPr>
        <w:spacing w:line="360" w:lineRule="auto"/>
      </w:pPr>
    </w:p>
    <w:p w14:paraId="4CFB280F" w14:textId="77777777" w:rsidR="00DD2567" w:rsidRDefault="00DD2567">
      <w:pPr>
        <w:spacing w:line="360" w:lineRule="auto"/>
      </w:pPr>
    </w:p>
    <w:p w14:paraId="5A3CA363" w14:textId="77777777" w:rsidR="00DD2567" w:rsidRDefault="00DD2567">
      <w:pPr>
        <w:spacing w:line="360" w:lineRule="auto"/>
      </w:pPr>
    </w:p>
    <w:p w14:paraId="6354E1EF" w14:textId="77777777" w:rsidR="00DD2567" w:rsidRDefault="00DD2567">
      <w:pPr>
        <w:spacing w:line="360" w:lineRule="auto"/>
      </w:pPr>
    </w:p>
    <w:p w14:paraId="4A6C66EA" w14:textId="77777777" w:rsidR="00DD2567" w:rsidRDefault="00DD2567">
      <w:pPr>
        <w:spacing w:line="360" w:lineRule="auto"/>
      </w:pPr>
    </w:p>
    <w:p w14:paraId="3BB4F7B9" w14:textId="77777777" w:rsidR="00DD2567" w:rsidRDefault="00DD2567">
      <w:pPr>
        <w:spacing w:line="360" w:lineRule="auto"/>
      </w:pPr>
    </w:p>
    <w:p w14:paraId="28905072" w14:textId="77777777" w:rsidR="00DD2567" w:rsidRDefault="00DD2567">
      <w:pPr>
        <w:spacing w:line="360" w:lineRule="auto"/>
      </w:pPr>
    </w:p>
    <w:p w14:paraId="436AEFE5" w14:textId="77777777" w:rsidR="00DD2567" w:rsidRDefault="00DD2567">
      <w:pPr>
        <w:spacing w:line="360" w:lineRule="auto"/>
      </w:pPr>
    </w:p>
    <w:p w14:paraId="7881ECCB" w14:textId="77777777" w:rsidR="00DD2567" w:rsidRDefault="00DD2567">
      <w:pPr>
        <w:spacing w:line="360" w:lineRule="auto"/>
      </w:pPr>
    </w:p>
    <w:p w14:paraId="2B662853" w14:textId="77777777" w:rsidR="00DD2567" w:rsidRDefault="00DD2567">
      <w:pPr>
        <w:spacing w:line="360" w:lineRule="auto"/>
      </w:pPr>
    </w:p>
    <w:p w14:paraId="0925C64E" w14:textId="77777777" w:rsidR="00DD2567" w:rsidRDefault="00DD2567">
      <w:pPr>
        <w:spacing w:line="360" w:lineRule="auto"/>
      </w:pPr>
    </w:p>
    <w:p w14:paraId="09356320" w14:textId="77777777" w:rsidR="00390FB9" w:rsidRDefault="00390FB9">
      <w:pPr>
        <w:widowControl/>
        <w:jc w:val="left"/>
      </w:pPr>
      <w:r>
        <w:br w:type="page"/>
      </w:r>
    </w:p>
    <w:p w14:paraId="60286C5C" w14:textId="77777777" w:rsidR="00DD2567" w:rsidRDefault="00DD2567">
      <w:pPr>
        <w:spacing w:line="360" w:lineRule="auto"/>
      </w:pPr>
    </w:p>
    <w:p w14:paraId="09D1E5EF" w14:textId="77777777" w:rsidR="00DD2567" w:rsidRDefault="00680E4C">
      <w:pPr>
        <w:spacing w:line="360" w:lineRule="auto"/>
        <w:rPr>
          <w:rFonts w:ascii="宋体" w:hAnsi="宋体"/>
          <w:sz w:val="24"/>
          <w:szCs w:val="24"/>
        </w:rPr>
      </w:pPr>
      <w:r>
        <w:rPr>
          <w:rFonts w:ascii="宋体" w:hAnsi="宋体" w:hint="eastAsia"/>
          <w:sz w:val="24"/>
          <w:szCs w:val="24"/>
        </w:rPr>
        <w:t>（本页无正文）</w:t>
      </w:r>
    </w:p>
    <w:p w14:paraId="546EB380" w14:textId="77777777" w:rsidR="00DD2567" w:rsidRDefault="00DD2567">
      <w:pPr>
        <w:spacing w:line="360" w:lineRule="auto"/>
        <w:rPr>
          <w:rFonts w:ascii="宋体" w:hAnsi="宋体"/>
          <w:sz w:val="24"/>
          <w:szCs w:val="24"/>
        </w:rPr>
      </w:pPr>
    </w:p>
    <w:p w14:paraId="35E91FC0" w14:textId="77777777" w:rsidR="00DD2567" w:rsidRDefault="00DD2567">
      <w:pPr>
        <w:spacing w:line="360" w:lineRule="auto"/>
        <w:rPr>
          <w:rFonts w:ascii="宋体" w:hAnsi="宋体"/>
          <w:sz w:val="24"/>
          <w:szCs w:val="24"/>
        </w:rPr>
      </w:pPr>
    </w:p>
    <w:p w14:paraId="4B73D1F4" w14:textId="77777777" w:rsidR="00DD2567" w:rsidRDefault="00680E4C">
      <w:pPr>
        <w:autoSpaceDE w:val="0"/>
        <w:autoSpaceDN w:val="0"/>
        <w:adjustRightInd w:val="0"/>
        <w:spacing w:line="360" w:lineRule="auto"/>
        <w:ind w:firstLineChars="200" w:firstLine="480"/>
        <w:jc w:val="right"/>
        <w:rPr>
          <w:rFonts w:ascii="仿宋_GB2312" w:eastAsia="仿宋_GB2312"/>
          <w:sz w:val="28"/>
          <w:szCs w:val="28"/>
        </w:rPr>
      </w:pPr>
      <w:r>
        <w:rPr>
          <w:rFonts w:ascii="宋体" w:hAnsi="宋体" w:hint="eastAsia"/>
          <w:sz w:val="24"/>
          <w:szCs w:val="24"/>
        </w:rPr>
        <w:t>基金管理人：浙商基金管理有限公司（公章）</w:t>
      </w:r>
    </w:p>
    <w:sectPr w:rsidR="00DD2567" w:rsidSect="00DD2567">
      <w:headerReference w:type="default" r:id="rId20"/>
      <w:footerReference w:type="default" r:id="rId21"/>
      <w:type w:val="continuous"/>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5B5994" w14:textId="77777777" w:rsidR="008269F9" w:rsidRDefault="008269F9" w:rsidP="00DD2567">
      <w:r>
        <w:separator/>
      </w:r>
    </w:p>
  </w:endnote>
  <w:endnote w:type="continuationSeparator" w:id="0">
    <w:p w14:paraId="51B3FCB1" w14:textId="77777777" w:rsidR="008269F9" w:rsidRDefault="008269F9" w:rsidP="00DD2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B01045" w14:textId="77777777" w:rsidR="00C826D7" w:rsidRDefault="00C826D7">
    <w:pPr>
      <w:pStyle w:val="ab"/>
      <w:jc w:val="center"/>
    </w:pPr>
    <w:r>
      <w:rPr>
        <w:rFonts w:hint="eastAsia"/>
      </w:rPr>
      <w:t>5-</w:t>
    </w:r>
    <w:r>
      <w:fldChar w:fldCharType="begin"/>
    </w:r>
    <w:r>
      <w:instrText xml:space="preserve"> PAGE   \* MERGEFORMAT </w:instrText>
    </w:r>
    <w:r>
      <w:fldChar w:fldCharType="separate"/>
    </w:r>
    <w:r w:rsidR="00725F28" w:rsidRPr="00725F28">
      <w:rPr>
        <w:noProof/>
        <w:lang w:val="zh-CN"/>
      </w:rPr>
      <w:t>3</w:t>
    </w:r>
    <w:r>
      <w:rPr>
        <w:lang w:val="zh-CN"/>
      </w:rPr>
      <w:fldChar w:fldCharType="end"/>
    </w:r>
  </w:p>
  <w:p w14:paraId="276CF6A4" w14:textId="77777777" w:rsidR="00C826D7" w:rsidRDefault="00C826D7">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9C22A0" w14:textId="77777777" w:rsidR="00C826D7" w:rsidRDefault="00C826D7">
    <w:pPr>
      <w:pStyle w:val="ab"/>
      <w:jc w:val="center"/>
    </w:pPr>
    <w:r>
      <w:rPr>
        <w:rFonts w:hint="eastAsia"/>
      </w:rPr>
      <w:t>5-</w:t>
    </w:r>
    <w:r>
      <w:fldChar w:fldCharType="begin"/>
    </w:r>
    <w:r>
      <w:instrText xml:space="preserve"> PAGE   \* MERGEFORMAT </w:instrText>
    </w:r>
    <w:r>
      <w:fldChar w:fldCharType="separate"/>
    </w:r>
    <w:r w:rsidR="00725F28" w:rsidRPr="00725F28">
      <w:rPr>
        <w:noProof/>
        <w:lang w:val="zh-CN"/>
      </w:rPr>
      <w:t>14</w:t>
    </w:r>
    <w:r>
      <w:rPr>
        <w:lang w:val="zh-CN"/>
      </w:rPr>
      <w:fldChar w:fldCharType="end"/>
    </w:r>
  </w:p>
  <w:p w14:paraId="30E93D7A" w14:textId="77777777" w:rsidR="00C826D7" w:rsidRDefault="00C826D7">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E42884" w14:textId="77777777" w:rsidR="008269F9" w:rsidRDefault="008269F9" w:rsidP="00DD2567">
      <w:r>
        <w:separator/>
      </w:r>
    </w:p>
  </w:footnote>
  <w:footnote w:type="continuationSeparator" w:id="0">
    <w:p w14:paraId="75DEFF2F" w14:textId="77777777" w:rsidR="008269F9" w:rsidRDefault="008269F9" w:rsidP="00DD25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24290D" w14:textId="22C4DE9C" w:rsidR="00C826D7" w:rsidRDefault="00C826D7">
    <w:pPr>
      <w:pStyle w:val="ac"/>
      <w:pBdr>
        <w:bottom w:val="thickThinLargeGap" w:sz="24" w:space="10" w:color="auto"/>
      </w:pBdr>
      <w:tabs>
        <w:tab w:val="right" w:pos="8280"/>
      </w:tabs>
      <w:wordWrap w:val="0"/>
      <w:adjustRightInd w:val="0"/>
    </w:pPr>
    <w:r>
      <w:rPr>
        <w:rFonts w:hint="eastAsia"/>
        <w:color w:val="000000"/>
      </w:rPr>
      <w:t>浙商聚潮灵活配置混合型</w:t>
    </w:r>
    <w:r>
      <w:rPr>
        <w:rFonts w:hint="eastAsia"/>
      </w:rPr>
      <w:t>证券投资基金</w:t>
    </w:r>
    <w:r>
      <w:rPr>
        <w:rFonts w:hint="eastAsia"/>
      </w:rPr>
      <w:t xml:space="preserve">                                                </w:t>
    </w:r>
    <w:r>
      <w:rPr>
        <w:rFonts w:hint="eastAsia"/>
      </w:rPr>
      <w:t>招募说明书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7EE002" w14:textId="759CC42F" w:rsidR="00C826D7" w:rsidRDefault="00C826D7" w:rsidP="00F4192B">
    <w:pPr>
      <w:pStyle w:val="ac"/>
      <w:pBdr>
        <w:bottom w:val="thickThinLargeGap" w:sz="24" w:space="10" w:color="auto"/>
      </w:pBdr>
      <w:tabs>
        <w:tab w:val="right" w:pos="8280"/>
      </w:tabs>
      <w:wordWrap w:val="0"/>
      <w:adjustRightInd w:val="0"/>
    </w:pPr>
    <w:r>
      <w:rPr>
        <w:rFonts w:hint="eastAsia"/>
        <w:color w:val="000000"/>
      </w:rPr>
      <w:t>浙商聚潮灵活配置混合型</w:t>
    </w:r>
    <w:r>
      <w:rPr>
        <w:rFonts w:hint="eastAsia"/>
      </w:rPr>
      <w:t>证券投资基金</w:t>
    </w:r>
    <w:r w:rsidR="0085123B">
      <w:rPr>
        <w:rFonts w:hint="eastAsia"/>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lvl w:ilvl="0" w:tentative="1">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D99"/>
    <w:rsid w:val="00004BA3"/>
    <w:rsid w:val="00004DF2"/>
    <w:rsid w:val="00006415"/>
    <w:rsid w:val="00012A1B"/>
    <w:rsid w:val="00014B58"/>
    <w:rsid w:val="00016731"/>
    <w:rsid w:val="00022412"/>
    <w:rsid w:val="00022BD3"/>
    <w:rsid w:val="00023C46"/>
    <w:rsid w:val="00023D8C"/>
    <w:rsid w:val="00026CAF"/>
    <w:rsid w:val="00026EEB"/>
    <w:rsid w:val="00031D39"/>
    <w:rsid w:val="00031E55"/>
    <w:rsid w:val="00032E62"/>
    <w:rsid w:val="000357C1"/>
    <w:rsid w:val="00036D91"/>
    <w:rsid w:val="0003758C"/>
    <w:rsid w:val="000424AD"/>
    <w:rsid w:val="000426B8"/>
    <w:rsid w:val="00042DD5"/>
    <w:rsid w:val="000430B7"/>
    <w:rsid w:val="00043E24"/>
    <w:rsid w:val="0004599C"/>
    <w:rsid w:val="00045D39"/>
    <w:rsid w:val="00047A25"/>
    <w:rsid w:val="00047F89"/>
    <w:rsid w:val="000549CC"/>
    <w:rsid w:val="0005548E"/>
    <w:rsid w:val="000627FD"/>
    <w:rsid w:val="000647D0"/>
    <w:rsid w:val="00065178"/>
    <w:rsid w:val="00067325"/>
    <w:rsid w:val="0007159C"/>
    <w:rsid w:val="0007279C"/>
    <w:rsid w:val="00072F66"/>
    <w:rsid w:val="0007458B"/>
    <w:rsid w:val="00075837"/>
    <w:rsid w:val="00081382"/>
    <w:rsid w:val="000817C3"/>
    <w:rsid w:val="00087050"/>
    <w:rsid w:val="00097E08"/>
    <w:rsid w:val="000A0C31"/>
    <w:rsid w:val="000A1247"/>
    <w:rsid w:val="000A2ACC"/>
    <w:rsid w:val="000A39E7"/>
    <w:rsid w:val="000A4D94"/>
    <w:rsid w:val="000A65BC"/>
    <w:rsid w:val="000B1B35"/>
    <w:rsid w:val="000B3F1D"/>
    <w:rsid w:val="000B59A2"/>
    <w:rsid w:val="000B5B2D"/>
    <w:rsid w:val="000B6665"/>
    <w:rsid w:val="000D042F"/>
    <w:rsid w:val="000D0C10"/>
    <w:rsid w:val="000D1AEC"/>
    <w:rsid w:val="000D3646"/>
    <w:rsid w:val="000D3D51"/>
    <w:rsid w:val="000D5FE7"/>
    <w:rsid w:val="000D62F1"/>
    <w:rsid w:val="000D6ABA"/>
    <w:rsid w:val="000E01FD"/>
    <w:rsid w:val="000E039E"/>
    <w:rsid w:val="000E0FA1"/>
    <w:rsid w:val="000E24F7"/>
    <w:rsid w:val="000E2D31"/>
    <w:rsid w:val="000E6FF1"/>
    <w:rsid w:val="000E7E99"/>
    <w:rsid w:val="000F012A"/>
    <w:rsid w:val="000F2756"/>
    <w:rsid w:val="000F3073"/>
    <w:rsid w:val="000F6795"/>
    <w:rsid w:val="000F6AC2"/>
    <w:rsid w:val="001013EA"/>
    <w:rsid w:val="00102090"/>
    <w:rsid w:val="001043DC"/>
    <w:rsid w:val="001059C7"/>
    <w:rsid w:val="00105CA4"/>
    <w:rsid w:val="00116FE5"/>
    <w:rsid w:val="00120F96"/>
    <w:rsid w:val="001245E2"/>
    <w:rsid w:val="00124970"/>
    <w:rsid w:val="0012750E"/>
    <w:rsid w:val="00130682"/>
    <w:rsid w:val="00130CFD"/>
    <w:rsid w:val="00131F50"/>
    <w:rsid w:val="001323BE"/>
    <w:rsid w:val="00133720"/>
    <w:rsid w:val="001344F1"/>
    <w:rsid w:val="001407D3"/>
    <w:rsid w:val="00140929"/>
    <w:rsid w:val="001462D3"/>
    <w:rsid w:val="001476B4"/>
    <w:rsid w:val="00153AB6"/>
    <w:rsid w:val="00153FA8"/>
    <w:rsid w:val="00154133"/>
    <w:rsid w:val="00155CA4"/>
    <w:rsid w:val="00156358"/>
    <w:rsid w:val="00157210"/>
    <w:rsid w:val="00160D43"/>
    <w:rsid w:val="00161187"/>
    <w:rsid w:val="001624C4"/>
    <w:rsid w:val="001634B4"/>
    <w:rsid w:val="0016756B"/>
    <w:rsid w:val="00170774"/>
    <w:rsid w:val="001716F7"/>
    <w:rsid w:val="00172A27"/>
    <w:rsid w:val="0017680A"/>
    <w:rsid w:val="00181479"/>
    <w:rsid w:val="00185A9F"/>
    <w:rsid w:val="00186CE6"/>
    <w:rsid w:val="00190740"/>
    <w:rsid w:val="001935ED"/>
    <w:rsid w:val="0019650D"/>
    <w:rsid w:val="001A03DF"/>
    <w:rsid w:val="001A0FFB"/>
    <w:rsid w:val="001A1464"/>
    <w:rsid w:val="001A24BC"/>
    <w:rsid w:val="001A4333"/>
    <w:rsid w:val="001B0E2A"/>
    <w:rsid w:val="001B3E91"/>
    <w:rsid w:val="001B7060"/>
    <w:rsid w:val="001B73A3"/>
    <w:rsid w:val="001C1D30"/>
    <w:rsid w:val="001C202F"/>
    <w:rsid w:val="001C3445"/>
    <w:rsid w:val="001C60DC"/>
    <w:rsid w:val="001C69F8"/>
    <w:rsid w:val="001D3668"/>
    <w:rsid w:val="001D4B99"/>
    <w:rsid w:val="001D67FA"/>
    <w:rsid w:val="001D6BCF"/>
    <w:rsid w:val="001D7A5C"/>
    <w:rsid w:val="001E0170"/>
    <w:rsid w:val="001E43C9"/>
    <w:rsid w:val="001E6614"/>
    <w:rsid w:val="001E6B3D"/>
    <w:rsid w:val="001E7AB6"/>
    <w:rsid w:val="001F01E6"/>
    <w:rsid w:val="001F2AF6"/>
    <w:rsid w:val="001F4AA6"/>
    <w:rsid w:val="001F531F"/>
    <w:rsid w:val="00203607"/>
    <w:rsid w:val="00203F66"/>
    <w:rsid w:val="00205420"/>
    <w:rsid w:val="002061A9"/>
    <w:rsid w:val="00210C54"/>
    <w:rsid w:val="00214388"/>
    <w:rsid w:val="00214D20"/>
    <w:rsid w:val="00225D4D"/>
    <w:rsid w:val="00230140"/>
    <w:rsid w:val="00230B34"/>
    <w:rsid w:val="00232839"/>
    <w:rsid w:val="00234154"/>
    <w:rsid w:val="00235A1A"/>
    <w:rsid w:val="0023710D"/>
    <w:rsid w:val="002425B6"/>
    <w:rsid w:val="002429BC"/>
    <w:rsid w:val="00245E4F"/>
    <w:rsid w:val="00247B0B"/>
    <w:rsid w:val="0025176F"/>
    <w:rsid w:val="0025466D"/>
    <w:rsid w:val="00255BB3"/>
    <w:rsid w:val="002560DE"/>
    <w:rsid w:val="00257AB1"/>
    <w:rsid w:val="002612CF"/>
    <w:rsid w:val="00263DF2"/>
    <w:rsid w:val="00265314"/>
    <w:rsid w:val="00265757"/>
    <w:rsid w:val="002706C3"/>
    <w:rsid w:val="002712DC"/>
    <w:rsid w:val="00271E05"/>
    <w:rsid w:val="002720B9"/>
    <w:rsid w:val="0027780A"/>
    <w:rsid w:val="00277DFC"/>
    <w:rsid w:val="002800BD"/>
    <w:rsid w:val="002820D5"/>
    <w:rsid w:val="002856B2"/>
    <w:rsid w:val="00285736"/>
    <w:rsid w:val="0028746D"/>
    <w:rsid w:val="0029031A"/>
    <w:rsid w:val="00290ADE"/>
    <w:rsid w:val="00290F60"/>
    <w:rsid w:val="0029134E"/>
    <w:rsid w:val="002A4CA2"/>
    <w:rsid w:val="002A66DC"/>
    <w:rsid w:val="002A70CA"/>
    <w:rsid w:val="002B0152"/>
    <w:rsid w:val="002B0668"/>
    <w:rsid w:val="002B539B"/>
    <w:rsid w:val="002C531A"/>
    <w:rsid w:val="002C758C"/>
    <w:rsid w:val="002D22CF"/>
    <w:rsid w:val="002D55FC"/>
    <w:rsid w:val="002D7458"/>
    <w:rsid w:val="002E0304"/>
    <w:rsid w:val="002E104C"/>
    <w:rsid w:val="002E2357"/>
    <w:rsid w:val="002E29B1"/>
    <w:rsid w:val="002E2D58"/>
    <w:rsid w:val="002E436E"/>
    <w:rsid w:val="002F2B0C"/>
    <w:rsid w:val="002F48D3"/>
    <w:rsid w:val="002F5C50"/>
    <w:rsid w:val="003056B1"/>
    <w:rsid w:val="003069BD"/>
    <w:rsid w:val="00306AD9"/>
    <w:rsid w:val="003106F1"/>
    <w:rsid w:val="003119AF"/>
    <w:rsid w:val="00315565"/>
    <w:rsid w:val="003155EB"/>
    <w:rsid w:val="00317519"/>
    <w:rsid w:val="00320F23"/>
    <w:rsid w:val="00322F9F"/>
    <w:rsid w:val="00324C7D"/>
    <w:rsid w:val="0033093A"/>
    <w:rsid w:val="0033099F"/>
    <w:rsid w:val="00332473"/>
    <w:rsid w:val="003354E6"/>
    <w:rsid w:val="003360DE"/>
    <w:rsid w:val="00342D32"/>
    <w:rsid w:val="003434B6"/>
    <w:rsid w:val="00344330"/>
    <w:rsid w:val="003445D2"/>
    <w:rsid w:val="00344677"/>
    <w:rsid w:val="00344DF4"/>
    <w:rsid w:val="00345993"/>
    <w:rsid w:val="003525CE"/>
    <w:rsid w:val="00360A75"/>
    <w:rsid w:val="00362815"/>
    <w:rsid w:val="0036297F"/>
    <w:rsid w:val="003648BC"/>
    <w:rsid w:val="00364B88"/>
    <w:rsid w:val="003724E2"/>
    <w:rsid w:val="00372C6D"/>
    <w:rsid w:val="003754FF"/>
    <w:rsid w:val="00377B86"/>
    <w:rsid w:val="00381CCC"/>
    <w:rsid w:val="00390288"/>
    <w:rsid w:val="00390EC3"/>
    <w:rsid w:val="00390FB9"/>
    <w:rsid w:val="003919BC"/>
    <w:rsid w:val="00392CD4"/>
    <w:rsid w:val="00396C85"/>
    <w:rsid w:val="003A1BF9"/>
    <w:rsid w:val="003A42E1"/>
    <w:rsid w:val="003A6C2E"/>
    <w:rsid w:val="003A7907"/>
    <w:rsid w:val="003B04CE"/>
    <w:rsid w:val="003B13B6"/>
    <w:rsid w:val="003B5E29"/>
    <w:rsid w:val="003B671E"/>
    <w:rsid w:val="003B711A"/>
    <w:rsid w:val="003C3BB8"/>
    <w:rsid w:val="003C54D8"/>
    <w:rsid w:val="003D06D2"/>
    <w:rsid w:val="003D1947"/>
    <w:rsid w:val="003D1C00"/>
    <w:rsid w:val="003E2518"/>
    <w:rsid w:val="003E2E08"/>
    <w:rsid w:val="003E3D03"/>
    <w:rsid w:val="003E7120"/>
    <w:rsid w:val="003F0E5D"/>
    <w:rsid w:val="003F14B7"/>
    <w:rsid w:val="003F1B1C"/>
    <w:rsid w:val="003F3492"/>
    <w:rsid w:val="003F6C09"/>
    <w:rsid w:val="00400807"/>
    <w:rsid w:val="00402831"/>
    <w:rsid w:val="0040287B"/>
    <w:rsid w:val="00404146"/>
    <w:rsid w:val="00406BFF"/>
    <w:rsid w:val="0040729B"/>
    <w:rsid w:val="00407F9E"/>
    <w:rsid w:val="0041007F"/>
    <w:rsid w:val="00411FE0"/>
    <w:rsid w:val="0041243C"/>
    <w:rsid w:val="00413C07"/>
    <w:rsid w:val="00415627"/>
    <w:rsid w:val="00420E08"/>
    <w:rsid w:val="004243BC"/>
    <w:rsid w:val="00431B9F"/>
    <w:rsid w:val="00435E11"/>
    <w:rsid w:val="004412E5"/>
    <w:rsid w:val="00450AF7"/>
    <w:rsid w:val="004522D1"/>
    <w:rsid w:val="00455F3E"/>
    <w:rsid w:val="004575D3"/>
    <w:rsid w:val="00460B02"/>
    <w:rsid w:val="0046237A"/>
    <w:rsid w:val="00462926"/>
    <w:rsid w:val="00472427"/>
    <w:rsid w:val="00474496"/>
    <w:rsid w:val="00475906"/>
    <w:rsid w:val="00475CAA"/>
    <w:rsid w:val="004809A9"/>
    <w:rsid w:val="00485EEA"/>
    <w:rsid w:val="004870F9"/>
    <w:rsid w:val="0049261F"/>
    <w:rsid w:val="00496500"/>
    <w:rsid w:val="00497243"/>
    <w:rsid w:val="004972CE"/>
    <w:rsid w:val="004A23B6"/>
    <w:rsid w:val="004A4170"/>
    <w:rsid w:val="004A53CC"/>
    <w:rsid w:val="004A786D"/>
    <w:rsid w:val="004B4E0E"/>
    <w:rsid w:val="004B4E92"/>
    <w:rsid w:val="004B6090"/>
    <w:rsid w:val="004C2795"/>
    <w:rsid w:val="004C5F96"/>
    <w:rsid w:val="004C6BF6"/>
    <w:rsid w:val="004D044C"/>
    <w:rsid w:val="004D06A5"/>
    <w:rsid w:val="004D44FB"/>
    <w:rsid w:val="004D5FC1"/>
    <w:rsid w:val="004D6D17"/>
    <w:rsid w:val="004E4733"/>
    <w:rsid w:val="004E6133"/>
    <w:rsid w:val="004F1BC5"/>
    <w:rsid w:val="004F3009"/>
    <w:rsid w:val="004F38C6"/>
    <w:rsid w:val="004F65DD"/>
    <w:rsid w:val="00500B09"/>
    <w:rsid w:val="00502087"/>
    <w:rsid w:val="00502781"/>
    <w:rsid w:val="00505FD6"/>
    <w:rsid w:val="00511DF5"/>
    <w:rsid w:val="0051242E"/>
    <w:rsid w:val="005220EF"/>
    <w:rsid w:val="0052239D"/>
    <w:rsid w:val="0052275A"/>
    <w:rsid w:val="00534B1E"/>
    <w:rsid w:val="005351FA"/>
    <w:rsid w:val="00535FF5"/>
    <w:rsid w:val="0053667D"/>
    <w:rsid w:val="00537D2F"/>
    <w:rsid w:val="00537DEB"/>
    <w:rsid w:val="0054142E"/>
    <w:rsid w:val="00541EAB"/>
    <w:rsid w:val="00542B43"/>
    <w:rsid w:val="005462AE"/>
    <w:rsid w:val="005477BA"/>
    <w:rsid w:val="0055094C"/>
    <w:rsid w:val="005524BA"/>
    <w:rsid w:val="00556E83"/>
    <w:rsid w:val="005610D1"/>
    <w:rsid w:val="00561BA0"/>
    <w:rsid w:val="00565068"/>
    <w:rsid w:val="00565A84"/>
    <w:rsid w:val="00567DA8"/>
    <w:rsid w:val="00575240"/>
    <w:rsid w:val="00575955"/>
    <w:rsid w:val="00580155"/>
    <w:rsid w:val="00580C4E"/>
    <w:rsid w:val="00582DB8"/>
    <w:rsid w:val="00582EC9"/>
    <w:rsid w:val="00583309"/>
    <w:rsid w:val="0058369B"/>
    <w:rsid w:val="00590988"/>
    <w:rsid w:val="0059292F"/>
    <w:rsid w:val="00592FCE"/>
    <w:rsid w:val="00597B1D"/>
    <w:rsid w:val="005A36D9"/>
    <w:rsid w:val="005A557C"/>
    <w:rsid w:val="005A621E"/>
    <w:rsid w:val="005A705D"/>
    <w:rsid w:val="005B107A"/>
    <w:rsid w:val="005B226E"/>
    <w:rsid w:val="005B3C1C"/>
    <w:rsid w:val="005B6265"/>
    <w:rsid w:val="005B65E2"/>
    <w:rsid w:val="005B67DD"/>
    <w:rsid w:val="005B7204"/>
    <w:rsid w:val="005C158C"/>
    <w:rsid w:val="005C3D97"/>
    <w:rsid w:val="005C5A97"/>
    <w:rsid w:val="005D10E0"/>
    <w:rsid w:val="005D2B15"/>
    <w:rsid w:val="005D45AE"/>
    <w:rsid w:val="005D6872"/>
    <w:rsid w:val="005D6E4B"/>
    <w:rsid w:val="005E16D6"/>
    <w:rsid w:val="005E17D5"/>
    <w:rsid w:val="005E1D09"/>
    <w:rsid w:val="005E1E69"/>
    <w:rsid w:val="005E3268"/>
    <w:rsid w:val="005E3EDD"/>
    <w:rsid w:val="005E4B11"/>
    <w:rsid w:val="005E5F2C"/>
    <w:rsid w:val="005E679F"/>
    <w:rsid w:val="005F07EE"/>
    <w:rsid w:val="005F1442"/>
    <w:rsid w:val="005F20BD"/>
    <w:rsid w:val="005F2D35"/>
    <w:rsid w:val="005F3986"/>
    <w:rsid w:val="005F7453"/>
    <w:rsid w:val="00600249"/>
    <w:rsid w:val="00601B6F"/>
    <w:rsid w:val="00601E43"/>
    <w:rsid w:val="00604D2B"/>
    <w:rsid w:val="00610050"/>
    <w:rsid w:val="0061169C"/>
    <w:rsid w:val="00622E75"/>
    <w:rsid w:val="00624D34"/>
    <w:rsid w:val="006253FC"/>
    <w:rsid w:val="00625BE6"/>
    <w:rsid w:val="00627109"/>
    <w:rsid w:val="006311F1"/>
    <w:rsid w:val="006318DC"/>
    <w:rsid w:val="006324F9"/>
    <w:rsid w:val="00636F38"/>
    <w:rsid w:val="00637063"/>
    <w:rsid w:val="00643774"/>
    <w:rsid w:val="00646BC2"/>
    <w:rsid w:val="00647A76"/>
    <w:rsid w:val="00647CF2"/>
    <w:rsid w:val="00650EF7"/>
    <w:rsid w:val="00655A34"/>
    <w:rsid w:val="0065745B"/>
    <w:rsid w:val="00663009"/>
    <w:rsid w:val="0066359F"/>
    <w:rsid w:val="006643BF"/>
    <w:rsid w:val="00667624"/>
    <w:rsid w:val="00671170"/>
    <w:rsid w:val="0067362D"/>
    <w:rsid w:val="00676852"/>
    <w:rsid w:val="00677248"/>
    <w:rsid w:val="006805E0"/>
    <w:rsid w:val="00680E4C"/>
    <w:rsid w:val="0068201C"/>
    <w:rsid w:val="0068298F"/>
    <w:rsid w:val="0068327F"/>
    <w:rsid w:val="00684EF0"/>
    <w:rsid w:val="006857B2"/>
    <w:rsid w:val="00690813"/>
    <w:rsid w:val="00692FA9"/>
    <w:rsid w:val="00694BDA"/>
    <w:rsid w:val="006956C4"/>
    <w:rsid w:val="006959D2"/>
    <w:rsid w:val="00695C3C"/>
    <w:rsid w:val="006968DF"/>
    <w:rsid w:val="006971C7"/>
    <w:rsid w:val="006975B5"/>
    <w:rsid w:val="006A3094"/>
    <w:rsid w:val="006B27C8"/>
    <w:rsid w:val="006B4A79"/>
    <w:rsid w:val="006B6710"/>
    <w:rsid w:val="006C23C8"/>
    <w:rsid w:val="006C5783"/>
    <w:rsid w:val="006C66D3"/>
    <w:rsid w:val="006C68DB"/>
    <w:rsid w:val="006C75EC"/>
    <w:rsid w:val="006D0B33"/>
    <w:rsid w:val="006D2221"/>
    <w:rsid w:val="006D237C"/>
    <w:rsid w:val="006D4C56"/>
    <w:rsid w:val="006D5950"/>
    <w:rsid w:val="006D5D33"/>
    <w:rsid w:val="006D5DBA"/>
    <w:rsid w:val="006D7527"/>
    <w:rsid w:val="006D7669"/>
    <w:rsid w:val="006E308D"/>
    <w:rsid w:val="006E32CE"/>
    <w:rsid w:val="006E3ED5"/>
    <w:rsid w:val="006E4BF9"/>
    <w:rsid w:val="006E4D4B"/>
    <w:rsid w:val="006E6298"/>
    <w:rsid w:val="006E72FC"/>
    <w:rsid w:val="006F0751"/>
    <w:rsid w:val="006F09C1"/>
    <w:rsid w:val="006F6698"/>
    <w:rsid w:val="006F7E77"/>
    <w:rsid w:val="00700165"/>
    <w:rsid w:val="007016E0"/>
    <w:rsid w:val="00704C60"/>
    <w:rsid w:val="00707408"/>
    <w:rsid w:val="00707456"/>
    <w:rsid w:val="00711DB7"/>
    <w:rsid w:val="00713259"/>
    <w:rsid w:val="007155AB"/>
    <w:rsid w:val="0071587F"/>
    <w:rsid w:val="00715CD4"/>
    <w:rsid w:val="00716007"/>
    <w:rsid w:val="00717202"/>
    <w:rsid w:val="00722BFC"/>
    <w:rsid w:val="007236B8"/>
    <w:rsid w:val="00725F28"/>
    <w:rsid w:val="00725F71"/>
    <w:rsid w:val="0072695F"/>
    <w:rsid w:val="007277F2"/>
    <w:rsid w:val="00732778"/>
    <w:rsid w:val="00732B51"/>
    <w:rsid w:val="00734373"/>
    <w:rsid w:val="007358D5"/>
    <w:rsid w:val="00736AF7"/>
    <w:rsid w:val="00740216"/>
    <w:rsid w:val="0074450E"/>
    <w:rsid w:val="00745236"/>
    <w:rsid w:val="00745742"/>
    <w:rsid w:val="00745B7B"/>
    <w:rsid w:val="00751ACD"/>
    <w:rsid w:val="00753B3D"/>
    <w:rsid w:val="0075689E"/>
    <w:rsid w:val="007605C3"/>
    <w:rsid w:val="00760F4F"/>
    <w:rsid w:val="007611CE"/>
    <w:rsid w:val="0076190D"/>
    <w:rsid w:val="0076340A"/>
    <w:rsid w:val="007640DD"/>
    <w:rsid w:val="00764D2E"/>
    <w:rsid w:val="00765F78"/>
    <w:rsid w:val="007707A6"/>
    <w:rsid w:val="00770A56"/>
    <w:rsid w:val="007711D5"/>
    <w:rsid w:val="00772CFE"/>
    <w:rsid w:val="007732B8"/>
    <w:rsid w:val="007741EF"/>
    <w:rsid w:val="007801E9"/>
    <w:rsid w:val="00780404"/>
    <w:rsid w:val="007824F3"/>
    <w:rsid w:val="007835AE"/>
    <w:rsid w:val="007869D4"/>
    <w:rsid w:val="00786A10"/>
    <w:rsid w:val="007877C4"/>
    <w:rsid w:val="00793F7C"/>
    <w:rsid w:val="00795919"/>
    <w:rsid w:val="00795ED1"/>
    <w:rsid w:val="00797EDD"/>
    <w:rsid w:val="007A0B06"/>
    <w:rsid w:val="007A0BBB"/>
    <w:rsid w:val="007A16D8"/>
    <w:rsid w:val="007A35AB"/>
    <w:rsid w:val="007A368B"/>
    <w:rsid w:val="007A3B6F"/>
    <w:rsid w:val="007B089C"/>
    <w:rsid w:val="007B18FC"/>
    <w:rsid w:val="007B1CF5"/>
    <w:rsid w:val="007B3558"/>
    <w:rsid w:val="007B4A6C"/>
    <w:rsid w:val="007B5A3E"/>
    <w:rsid w:val="007B6922"/>
    <w:rsid w:val="007C72AE"/>
    <w:rsid w:val="007D1BBC"/>
    <w:rsid w:val="007D6400"/>
    <w:rsid w:val="007E2412"/>
    <w:rsid w:val="007E5727"/>
    <w:rsid w:val="007E6315"/>
    <w:rsid w:val="007F0ABC"/>
    <w:rsid w:val="007F48F8"/>
    <w:rsid w:val="007F4DB0"/>
    <w:rsid w:val="0080094C"/>
    <w:rsid w:val="00804C5E"/>
    <w:rsid w:val="00806284"/>
    <w:rsid w:val="0080676F"/>
    <w:rsid w:val="00811B23"/>
    <w:rsid w:val="00814C39"/>
    <w:rsid w:val="0082133F"/>
    <w:rsid w:val="00823AC3"/>
    <w:rsid w:val="00823CC6"/>
    <w:rsid w:val="00824866"/>
    <w:rsid w:val="0082605F"/>
    <w:rsid w:val="008269F9"/>
    <w:rsid w:val="0082704F"/>
    <w:rsid w:val="00827CA2"/>
    <w:rsid w:val="0083255C"/>
    <w:rsid w:val="00843724"/>
    <w:rsid w:val="008471EB"/>
    <w:rsid w:val="00850FF4"/>
    <w:rsid w:val="0085123B"/>
    <w:rsid w:val="00852976"/>
    <w:rsid w:val="00860521"/>
    <w:rsid w:val="00863092"/>
    <w:rsid w:val="008640B3"/>
    <w:rsid w:val="00872724"/>
    <w:rsid w:val="00873146"/>
    <w:rsid w:val="00883567"/>
    <w:rsid w:val="00886C9A"/>
    <w:rsid w:val="00887803"/>
    <w:rsid w:val="00890CE2"/>
    <w:rsid w:val="00892434"/>
    <w:rsid w:val="008931C4"/>
    <w:rsid w:val="00893F9F"/>
    <w:rsid w:val="00894767"/>
    <w:rsid w:val="008948F4"/>
    <w:rsid w:val="00894B8A"/>
    <w:rsid w:val="008978E7"/>
    <w:rsid w:val="0089795A"/>
    <w:rsid w:val="008A5CFC"/>
    <w:rsid w:val="008A63E7"/>
    <w:rsid w:val="008A6477"/>
    <w:rsid w:val="008A68E1"/>
    <w:rsid w:val="008B1458"/>
    <w:rsid w:val="008B7562"/>
    <w:rsid w:val="008C2AF7"/>
    <w:rsid w:val="008D2F26"/>
    <w:rsid w:val="008D5265"/>
    <w:rsid w:val="008D6B63"/>
    <w:rsid w:val="008E23D5"/>
    <w:rsid w:val="008E4ACA"/>
    <w:rsid w:val="008E6F8C"/>
    <w:rsid w:val="008E7467"/>
    <w:rsid w:val="008E798F"/>
    <w:rsid w:val="008F104C"/>
    <w:rsid w:val="008F117B"/>
    <w:rsid w:val="008F3D1F"/>
    <w:rsid w:val="008F4064"/>
    <w:rsid w:val="008F487D"/>
    <w:rsid w:val="008F6F6C"/>
    <w:rsid w:val="008F72B3"/>
    <w:rsid w:val="0090068D"/>
    <w:rsid w:val="00901256"/>
    <w:rsid w:val="009038A6"/>
    <w:rsid w:val="00904D90"/>
    <w:rsid w:val="00906077"/>
    <w:rsid w:val="00910186"/>
    <w:rsid w:val="0091638F"/>
    <w:rsid w:val="00916F61"/>
    <w:rsid w:val="00917A42"/>
    <w:rsid w:val="0092016E"/>
    <w:rsid w:val="00920E6D"/>
    <w:rsid w:val="00921C38"/>
    <w:rsid w:val="00922A02"/>
    <w:rsid w:val="0092464E"/>
    <w:rsid w:val="00925769"/>
    <w:rsid w:val="00926FFE"/>
    <w:rsid w:val="009274C9"/>
    <w:rsid w:val="00927D95"/>
    <w:rsid w:val="00930334"/>
    <w:rsid w:val="00930423"/>
    <w:rsid w:val="00930B73"/>
    <w:rsid w:val="00931C82"/>
    <w:rsid w:val="00932B68"/>
    <w:rsid w:val="00932C20"/>
    <w:rsid w:val="00932C72"/>
    <w:rsid w:val="00932D60"/>
    <w:rsid w:val="00933043"/>
    <w:rsid w:val="009338E9"/>
    <w:rsid w:val="00933E9E"/>
    <w:rsid w:val="00934D99"/>
    <w:rsid w:val="00935470"/>
    <w:rsid w:val="00935910"/>
    <w:rsid w:val="009400EE"/>
    <w:rsid w:val="00940BCB"/>
    <w:rsid w:val="00942949"/>
    <w:rsid w:val="00944CDF"/>
    <w:rsid w:val="00952BE0"/>
    <w:rsid w:val="00953C6D"/>
    <w:rsid w:val="00954BE2"/>
    <w:rsid w:val="00955CA0"/>
    <w:rsid w:val="00956EE3"/>
    <w:rsid w:val="0095728D"/>
    <w:rsid w:val="00960EC1"/>
    <w:rsid w:val="00967511"/>
    <w:rsid w:val="009724BA"/>
    <w:rsid w:val="00972E3C"/>
    <w:rsid w:val="0097609D"/>
    <w:rsid w:val="0098656B"/>
    <w:rsid w:val="00986DED"/>
    <w:rsid w:val="00990EBF"/>
    <w:rsid w:val="00993216"/>
    <w:rsid w:val="009934DB"/>
    <w:rsid w:val="009951D3"/>
    <w:rsid w:val="00996649"/>
    <w:rsid w:val="00996894"/>
    <w:rsid w:val="009A10AD"/>
    <w:rsid w:val="009A11BB"/>
    <w:rsid w:val="009A11C1"/>
    <w:rsid w:val="009A1A50"/>
    <w:rsid w:val="009A4A44"/>
    <w:rsid w:val="009A544A"/>
    <w:rsid w:val="009A5A3E"/>
    <w:rsid w:val="009B3594"/>
    <w:rsid w:val="009B4ADE"/>
    <w:rsid w:val="009B57BE"/>
    <w:rsid w:val="009C2CE6"/>
    <w:rsid w:val="009C3F83"/>
    <w:rsid w:val="009C72DD"/>
    <w:rsid w:val="009C7FC9"/>
    <w:rsid w:val="009D239C"/>
    <w:rsid w:val="009D43BB"/>
    <w:rsid w:val="009D61E7"/>
    <w:rsid w:val="009E4B63"/>
    <w:rsid w:val="009F07B1"/>
    <w:rsid w:val="009F15AD"/>
    <w:rsid w:val="009F1FED"/>
    <w:rsid w:val="009F2351"/>
    <w:rsid w:val="009F7772"/>
    <w:rsid w:val="00A043F7"/>
    <w:rsid w:val="00A047AF"/>
    <w:rsid w:val="00A0786F"/>
    <w:rsid w:val="00A25795"/>
    <w:rsid w:val="00A276EE"/>
    <w:rsid w:val="00A309C0"/>
    <w:rsid w:val="00A30A62"/>
    <w:rsid w:val="00A30C6B"/>
    <w:rsid w:val="00A31649"/>
    <w:rsid w:val="00A3702D"/>
    <w:rsid w:val="00A37913"/>
    <w:rsid w:val="00A40763"/>
    <w:rsid w:val="00A40DF3"/>
    <w:rsid w:val="00A4464C"/>
    <w:rsid w:val="00A44A22"/>
    <w:rsid w:val="00A44AF0"/>
    <w:rsid w:val="00A50DFE"/>
    <w:rsid w:val="00A5148F"/>
    <w:rsid w:val="00A51DA7"/>
    <w:rsid w:val="00A5340B"/>
    <w:rsid w:val="00A53F92"/>
    <w:rsid w:val="00A54555"/>
    <w:rsid w:val="00A56572"/>
    <w:rsid w:val="00A56C00"/>
    <w:rsid w:val="00A61493"/>
    <w:rsid w:val="00A61C62"/>
    <w:rsid w:val="00A62D03"/>
    <w:rsid w:val="00A6397C"/>
    <w:rsid w:val="00A65B05"/>
    <w:rsid w:val="00A66F59"/>
    <w:rsid w:val="00A75439"/>
    <w:rsid w:val="00A81084"/>
    <w:rsid w:val="00A8310D"/>
    <w:rsid w:val="00A832B2"/>
    <w:rsid w:val="00A834A1"/>
    <w:rsid w:val="00A83906"/>
    <w:rsid w:val="00A85E69"/>
    <w:rsid w:val="00A878FC"/>
    <w:rsid w:val="00A90DF9"/>
    <w:rsid w:val="00A9750D"/>
    <w:rsid w:val="00AA173F"/>
    <w:rsid w:val="00AA5EA9"/>
    <w:rsid w:val="00AC05E9"/>
    <w:rsid w:val="00AC6A6A"/>
    <w:rsid w:val="00AD0B79"/>
    <w:rsid w:val="00AD0B88"/>
    <w:rsid w:val="00AD4932"/>
    <w:rsid w:val="00AE4026"/>
    <w:rsid w:val="00AE55AC"/>
    <w:rsid w:val="00AE7B4B"/>
    <w:rsid w:val="00AF06D3"/>
    <w:rsid w:val="00AF0718"/>
    <w:rsid w:val="00AF09A5"/>
    <w:rsid w:val="00AF10C6"/>
    <w:rsid w:val="00AF1C46"/>
    <w:rsid w:val="00AF2954"/>
    <w:rsid w:val="00AF3B99"/>
    <w:rsid w:val="00AF4097"/>
    <w:rsid w:val="00AF4718"/>
    <w:rsid w:val="00B00015"/>
    <w:rsid w:val="00B107D6"/>
    <w:rsid w:val="00B14483"/>
    <w:rsid w:val="00B1554E"/>
    <w:rsid w:val="00B16DA1"/>
    <w:rsid w:val="00B206A8"/>
    <w:rsid w:val="00B21CA1"/>
    <w:rsid w:val="00B24D50"/>
    <w:rsid w:val="00B250AF"/>
    <w:rsid w:val="00B26048"/>
    <w:rsid w:val="00B30B98"/>
    <w:rsid w:val="00B30C54"/>
    <w:rsid w:val="00B3154A"/>
    <w:rsid w:val="00B31E1A"/>
    <w:rsid w:val="00B34D10"/>
    <w:rsid w:val="00B37F02"/>
    <w:rsid w:val="00B37F19"/>
    <w:rsid w:val="00B45155"/>
    <w:rsid w:val="00B4650D"/>
    <w:rsid w:val="00B521E0"/>
    <w:rsid w:val="00B52E0C"/>
    <w:rsid w:val="00B554EB"/>
    <w:rsid w:val="00B57DB2"/>
    <w:rsid w:val="00B649E0"/>
    <w:rsid w:val="00B667FA"/>
    <w:rsid w:val="00B66FE2"/>
    <w:rsid w:val="00B70474"/>
    <w:rsid w:val="00B751FB"/>
    <w:rsid w:val="00B757AF"/>
    <w:rsid w:val="00B76D75"/>
    <w:rsid w:val="00B835B9"/>
    <w:rsid w:val="00B839DD"/>
    <w:rsid w:val="00B8522C"/>
    <w:rsid w:val="00B860DD"/>
    <w:rsid w:val="00B86E31"/>
    <w:rsid w:val="00B87B05"/>
    <w:rsid w:val="00B93A6E"/>
    <w:rsid w:val="00B96A93"/>
    <w:rsid w:val="00B972F1"/>
    <w:rsid w:val="00BA1DCE"/>
    <w:rsid w:val="00BA33BC"/>
    <w:rsid w:val="00BA7089"/>
    <w:rsid w:val="00BB2CA2"/>
    <w:rsid w:val="00BB3EA7"/>
    <w:rsid w:val="00BB59E2"/>
    <w:rsid w:val="00BC2F5C"/>
    <w:rsid w:val="00BC55F0"/>
    <w:rsid w:val="00BD02D0"/>
    <w:rsid w:val="00BD1699"/>
    <w:rsid w:val="00BD5046"/>
    <w:rsid w:val="00BD61C5"/>
    <w:rsid w:val="00BD7A37"/>
    <w:rsid w:val="00BE12A1"/>
    <w:rsid w:val="00BE33C1"/>
    <w:rsid w:val="00BE5EA3"/>
    <w:rsid w:val="00BE6A24"/>
    <w:rsid w:val="00BE73F0"/>
    <w:rsid w:val="00BF080E"/>
    <w:rsid w:val="00BF09CF"/>
    <w:rsid w:val="00BF11B0"/>
    <w:rsid w:val="00BF13AD"/>
    <w:rsid w:val="00BF17AA"/>
    <w:rsid w:val="00BF6CEB"/>
    <w:rsid w:val="00C004C2"/>
    <w:rsid w:val="00C00DE9"/>
    <w:rsid w:val="00C0290B"/>
    <w:rsid w:val="00C02EFB"/>
    <w:rsid w:val="00C03653"/>
    <w:rsid w:val="00C061CE"/>
    <w:rsid w:val="00C101DD"/>
    <w:rsid w:val="00C10F22"/>
    <w:rsid w:val="00C11950"/>
    <w:rsid w:val="00C13FE1"/>
    <w:rsid w:val="00C16A54"/>
    <w:rsid w:val="00C16D44"/>
    <w:rsid w:val="00C203E5"/>
    <w:rsid w:val="00C2369C"/>
    <w:rsid w:val="00C32DFB"/>
    <w:rsid w:val="00C330E7"/>
    <w:rsid w:val="00C3684B"/>
    <w:rsid w:val="00C4267F"/>
    <w:rsid w:val="00C437F7"/>
    <w:rsid w:val="00C4388B"/>
    <w:rsid w:val="00C452DC"/>
    <w:rsid w:val="00C460E0"/>
    <w:rsid w:val="00C469FC"/>
    <w:rsid w:val="00C46D2D"/>
    <w:rsid w:val="00C51CD1"/>
    <w:rsid w:val="00C535DC"/>
    <w:rsid w:val="00C53893"/>
    <w:rsid w:val="00C574E6"/>
    <w:rsid w:val="00C57D2A"/>
    <w:rsid w:val="00C6685C"/>
    <w:rsid w:val="00C76EE3"/>
    <w:rsid w:val="00C7781F"/>
    <w:rsid w:val="00C826D7"/>
    <w:rsid w:val="00C82CCD"/>
    <w:rsid w:val="00C8472D"/>
    <w:rsid w:val="00C84D64"/>
    <w:rsid w:val="00C873CE"/>
    <w:rsid w:val="00C874AC"/>
    <w:rsid w:val="00C90957"/>
    <w:rsid w:val="00C9296C"/>
    <w:rsid w:val="00C9699A"/>
    <w:rsid w:val="00C969DA"/>
    <w:rsid w:val="00C96FC4"/>
    <w:rsid w:val="00CA1F47"/>
    <w:rsid w:val="00CA46FE"/>
    <w:rsid w:val="00CB316D"/>
    <w:rsid w:val="00CB3A81"/>
    <w:rsid w:val="00CB3D0B"/>
    <w:rsid w:val="00CB4D09"/>
    <w:rsid w:val="00CB7C75"/>
    <w:rsid w:val="00CC3FA1"/>
    <w:rsid w:val="00CC732C"/>
    <w:rsid w:val="00CC7A91"/>
    <w:rsid w:val="00CD3A82"/>
    <w:rsid w:val="00CD4E38"/>
    <w:rsid w:val="00CD5116"/>
    <w:rsid w:val="00CD57B1"/>
    <w:rsid w:val="00CD7793"/>
    <w:rsid w:val="00CE047A"/>
    <w:rsid w:val="00CE15C3"/>
    <w:rsid w:val="00CF060B"/>
    <w:rsid w:val="00CF0F2D"/>
    <w:rsid w:val="00CF1799"/>
    <w:rsid w:val="00CF394A"/>
    <w:rsid w:val="00CF5C6A"/>
    <w:rsid w:val="00D0200B"/>
    <w:rsid w:val="00D02C19"/>
    <w:rsid w:val="00D0791B"/>
    <w:rsid w:val="00D11A48"/>
    <w:rsid w:val="00D129DA"/>
    <w:rsid w:val="00D13727"/>
    <w:rsid w:val="00D14B1D"/>
    <w:rsid w:val="00D20512"/>
    <w:rsid w:val="00D20DA4"/>
    <w:rsid w:val="00D23A92"/>
    <w:rsid w:val="00D266C7"/>
    <w:rsid w:val="00D27411"/>
    <w:rsid w:val="00D276AD"/>
    <w:rsid w:val="00D309B9"/>
    <w:rsid w:val="00D32794"/>
    <w:rsid w:val="00D33EC2"/>
    <w:rsid w:val="00D3454E"/>
    <w:rsid w:val="00D354E1"/>
    <w:rsid w:val="00D3682E"/>
    <w:rsid w:val="00D37261"/>
    <w:rsid w:val="00D376C3"/>
    <w:rsid w:val="00D40683"/>
    <w:rsid w:val="00D415B8"/>
    <w:rsid w:val="00D41C99"/>
    <w:rsid w:val="00D4399D"/>
    <w:rsid w:val="00D44A2F"/>
    <w:rsid w:val="00D4697E"/>
    <w:rsid w:val="00D46E35"/>
    <w:rsid w:val="00D50355"/>
    <w:rsid w:val="00D50635"/>
    <w:rsid w:val="00D509C9"/>
    <w:rsid w:val="00D52AFD"/>
    <w:rsid w:val="00D535D2"/>
    <w:rsid w:val="00D53C28"/>
    <w:rsid w:val="00D55113"/>
    <w:rsid w:val="00D55F07"/>
    <w:rsid w:val="00D607F8"/>
    <w:rsid w:val="00D62F08"/>
    <w:rsid w:val="00D6536E"/>
    <w:rsid w:val="00D70E43"/>
    <w:rsid w:val="00D731A7"/>
    <w:rsid w:val="00D7376E"/>
    <w:rsid w:val="00D739EB"/>
    <w:rsid w:val="00D7440A"/>
    <w:rsid w:val="00D76ECB"/>
    <w:rsid w:val="00D808B5"/>
    <w:rsid w:val="00D81D3B"/>
    <w:rsid w:val="00D8365E"/>
    <w:rsid w:val="00D8441F"/>
    <w:rsid w:val="00D85D75"/>
    <w:rsid w:val="00D8636C"/>
    <w:rsid w:val="00D94C4F"/>
    <w:rsid w:val="00D95DF7"/>
    <w:rsid w:val="00D978A2"/>
    <w:rsid w:val="00DA071A"/>
    <w:rsid w:val="00DA17F2"/>
    <w:rsid w:val="00DA2B25"/>
    <w:rsid w:val="00DB00DF"/>
    <w:rsid w:val="00DC255F"/>
    <w:rsid w:val="00DC2E29"/>
    <w:rsid w:val="00DC3853"/>
    <w:rsid w:val="00DC4AD8"/>
    <w:rsid w:val="00DC5BC4"/>
    <w:rsid w:val="00DC702F"/>
    <w:rsid w:val="00DD05A7"/>
    <w:rsid w:val="00DD0E02"/>
    <w:rsid w:val="00DD1B31"/>
    <w:rsid w:val="00DD2567"/>
    <w:rsid w:val="00DD2B8D"/>
    <w:rsid w:val="00DD35D9"/>
    <w:rsid w:val="00DD5257"/>
    <w:rsid w:val="00DD65F0"/>
    <w:rsid w:val="00DE0AF4"/>
    <w:rsid w:val="00DE6831"/>
    <w:rsid w:val="00DE773B"/>
    <w:rsid w:val="00DF0D81"/>
    <w:rsid w:val="00DF371C"/>
    <w:rsid w:val="00DF39AF"/>
    <w:rsid w:val="00E00001"/>
    <w:rsid w:val="00E00A9E"/>
    <w:rsid w:val="00E02E90"/>
    <w:rsid w:val="00E02F56"/>
    <w:rsid w:val="00E04DD6"/>
    <w:rsid w:val="00E05A7D"/>
    <w:rsid w:val="00E069F3"/>
    <w:rsid w:val="00E12629"/>
    <w:rsid w:val="00E14B31"/>
    <w:rsid w:val="00E16CCC"/>
    <w:rsid w:val="00E16E49"/>
    <w:rsid w:val="00E22763"/>
    <w:rsid w:val="00E238E2"/>
    <w:rsid w:val="00E252B3"/>
    <w:rsid w:val="00E252B5"/>
    <w:rsid w:val="00E25346"/>
    <w:rsid w:val="00E30D4E"/>
    <w:rsid w:val="00E30F73"/>
    <w:rsid w:val="00E31CC6"/>
    <w:rsid w:val="00E33D40"/>
    <w:rsid w:val="00E3669E"/>
    <w:rsid w:val="00E3702E"/>
    <w:rsid w:val="00E40910"/>
    <w:rsid w:val="00E41D2D"/>
    <w:rsid w:val="00E41EA6"/>
    <w:rsid w:val="00E45A4D"/>
    <w:rsid w:val="00E51795"/>
    <w:rsid w:val="00E525FB"/>
    <w:rsid w:val="00E52D7A"/>
    <w:rsid w:val="00E52F89"/>
    <w:rsid w:val="00E54B85"/>
    <w:rsid w:val="00E56A49"/>
    <w:rsid w:val="00E56F33"/>
    <w:rsid w:val="00E5771F"/>
    <w:rsid w:val="00E61BF7"/>
    <w:rsid w:val="00E62BBF"/>
    <w:rsid w:val="00E64F07"/>
    <w:rsid w:val="00E6661B"/>
    <w:rsid w:val="00E70528"/>
    <w:rsid w:val="00E708FE"/>
    <w:rsid w:val="00E72320"/>
    <w:rsid w:val="00E755D3"/>
    <w:rsid w:val="00E756D2"/>
    <w:rsid w:val="00E76376"/>
    <w:rsid w:val="00E76B9B"/>
    <w:rsid w:val="00E76D96"/>
    <w:rsid w:val="00E81C5E"/>
    <w:rsid w:val="00E81DC0"/>
    <w:rsid w:val="00E829C5"/>
    <w:rsid w:val="00E84212"/>
    <w:rsid w:val="00E87F1F"/>
    <w:rsid w:val="00E91345"/>
    <w:rsid w:val="00E96BB1"/>
    <w:rsid w:val="00E9749C"/>
    <w:rsid w:val="00EA6D0E"/>
    <w:rsid w:val="00EA7D2C"/>
    <w:rsid w:val="00EB1FF5"/>
    <w:rsid w:val="00EB3F28"/>
    <w:rsid w:val="00EB7A70"/>
    <w:rsid w:val="00EC12A3"/>
    <w:rsid w:val="00EC12DB"/>
    <w:rsid w:val="00EC39C0"/>
    <w:rsid w:val="00EC3CCB"/>
    <w:rsid w:val="00EC6740"/>
    <w:rsid w:val="00EC6B86"/>
    <w:rsid w:val="00EC6D17"/>
    <w:rsid w:val="00EC6DCD"/>
    <w:rsid w:val="00EC7B96"/>
    <w:rsid w:val="00EE1DDA"/>
    <w:rsid w:val="00EE2577"/>
    <w:rsid w:val="00EE423C"/>
    <w:rsid w:val="00EF6807"/>
    <w:rsid w:val="00F0240B"/>
    <w:rsid w:val="00F06CFF"/>
    <w:rsid w:val="00F13090"/>
    <w:rsid w:val="00F15A9E"/>
    <w:rsid w:val="00F15BF7"/>
    <w:rsid w:val="00F2103B"/>
    <w:rsid w:val="00F24898"/>
    <w:rsid w:val="00F24EAD"/>
    <w:rsid w:val="00F277DD"/>
    <w:rsid w:val="00F277F2"/>
    <w:rsid w:val="00F31B68"/>
    <w:rsid w:val="00F34324"/>
    <w:rsid w:val="00F34AA3"/>
    <w:rsid w:val="00F35542"/>
    <w:rsid w:val="00F36794"/>
    <w:rsid w:val="00F4192B"/>
    <w:rsid w:val="00F41A16"/>
    <w:rsid w:val="00F46A3E"/>
    <w:rsid w:val="00F506A8"/>
    <w:rsid w:val="00F526B6"/>
    <w:rsid w:val="00F53302"/>
    <w:rsid w:val="00F5352E"/>
    <w:rsid w:val="00F55C87"/>
    <w:rsid w:val="00F55D1B"/>
    <w:rsid w:val="00F573DF"/>
    <w:rsid w:val="00F601F6"/>
    <w:rsid w:val="00F6537E"/>
    <w:rsid w:val="00F6710D"/>
    <w:rsid w:val="00F74B31"/>
    <w:rsid w:val="00F74C23"/>
    <w:rsid w:val="00F75574"/>
    <w:rsid w:val="00F7566D"/>
    <w:rsid w:val="00F76ACF"/>
    <w:rsid w:val="00F814E1"/>
    <w:rsid w:val="00F82141"/>
    <w:rsid w:val="00F844D7"/>
    <w:rsid w:val="00F90C5C"/>
    <w:rsid w:val="00F91819"/>
    <w:rsid w:val="00F9269A"/>
    <w:rsid w:val="00F92C04"/>
    <w:rsid w:val="00FA117B"/>
    <w:rsid w:val="00FA20D1"/>
    <w:rsid w:val="00FA53DA"/>
    <w:rsid w:val="00FA5996"/>
    <w:rsid w:val="00FA6139"/>
    <w:rsid w:val="00FA7AB1"/>
    <w:rsid w:val="00FB1AD7"/>
    <w:rsid w:val="00FB7150"/>
    <w:rsid w:val="00FD4D4F"/>
    <w:rsid w:val="00FE08AD"/>
    <w:rsid w:val="00FE0DCF"/>
    <w:rsid w:val="00FE601F"/>
    <w:rsid w:val="00FF4379"/>
    <w:rsid w:val="00FF541C"/>
    <w:rsid w:val="00FF7462"/>
    <w:rsid w:val="00FF74BA"/>
    <w:rsid w:val="01B31FD7"/>
    <w:rsid w:val="051D4572"/>
    <w:rsid w:val="0EA9219A"/>
    <w:rsid w:val="0F77606B"/>
    <w:rsid w:val="101D58FF"/>
    <w:rsid w:val="11855DCB"/>
    <w:rsid w:val="11D72352"/>
    <w:rsid w:val="15811E53"/>
    <w:rsid w:val="19ED2D17"/>
    <w:rsid w:val="1AB217DB"/>
    <w:rsid w:val="1BDC4741"/>
    <w:rsid w:val="1D3A3784"/>
    <w:rsid w:val="22682975"/>
    <w:rsid w:val="245D2237"/>
    <w:rsid w:val="253D5128"/>
    <w:rsid w:val="295F57ED"/>
    <w:rsid w:val="29E10344"/>
    <w:rsid w:val="2A945BEA"/>
    <w:rsid w:val="2CCF570D"/>
    <w:rsid w:val="2E6430F6"/>
    <w:rsid w:val="2F5A6DBC"/>
    <w:rsid w:val="30A957E4"/>
    <w:rsid w:val="322701D4"/>
    <w:rsid w:val="32B62041"/>
    <w:rsid w:val="32CB4565"/>
    <w:rsid w:val="330368BD"/>
    <w:rsid w:val="33203C6F"/>
    <w:rsid w:val="33835F12"/>
    <w:rsid w:val="36890788"/>
    <w:rsid w:val="37005E48"/>
    <w:rsid w:val="37E00D3A"/>
    <w:rsid w:val="3B543BE4"/>
    <w:rsid w:val="3F4A7F61"/>
    <w:rsid w:val="401E7040"/>
    <w:rsid w:val="4026664B"/>
    <w:rsid w:val="427D7E24"/>
    <w:rsid w:val="45647867"/>
    <w:rsid w:val="47496783"/>
    <w:rsid w:val="485559BC"/>
    <w:rsid w:val="493E20B6"/>
    <w:rsid w:val="494F3655"/>
    <w:rsid w:val="4984282A"/>
    <w:rsid w:val="4C3C7520"/>
    <w:rsid w:val="4DAB09FB"/>
    <w:rsid w:val="4DBE6397"/>
    <w:rsid w:val="53A40CC6"/>
    <w:rsid w:val="53E83D39"/>
    <w:rsid w:val="543B24BE"/>
    <w:rsid w:val="57751D0C"/>
    <w:rsid w:val="57C16588"/>
    <w:rsid w:val="5AFC7FD4"/>
    <w:rsid w:val="5CDD26E7"/>
    <w:rsid w:val="5D107A3F"/>
    <w:rsid w:val="5E122AE4"/>
    <w:rsid w:val="5EE81843"/>
    <w:rsid w:val="5F6F5E8B"/>
    <w:rsid w:val="602437C9"/>
    <w:rsid w:val="61C763F8"/>
    <w:rsid w:val="65B06CE3"/>
    <w:rsid w:val="67A24F14"/>
    <w:rsid w:val="687377EB"/>
    <w:rsid w:val="6D991CDC"/>
    <w:rsid w:val="6F917C18"/>
    <w:rsid w:val="70757E8B"/>
    <w:rsid w:val="7461717C"/>
    <w:rsid w:val="78715728"/>
    <w:rsid w:val="7C536688"/>
    <w:rsid w:val="7C6A62AD"/>
    <w:rsid w:val="7F392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6E650193"/>
  <w15:docId w15:val="{2B2837F4-CFBA-474D-8A3D-7477DEC9F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2567"/>
    <w:pPr>
      <w:widowControl w:val="0"/>
      <w:jc w:val="both"/>
    </w:pPr>
    <w:rPr>
      <w:kern w:val="2"/>
      <w:sz w:val="21"/>
    </w:rPr>
  </w:style>
  <w:style w:type="paragraph" w:styleId="1">
    <w:name w:val="heading 1"/>
    <w:basedOn w:val="a"/>
    <w:next w:val="a"/>
    <w:qFormat/>
    <w:rsid w:val="00DD2567"/>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DD2567"/>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DD2567"/>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rsid w:val="00DD2567"/>
    <w:rPr>
      <w:b/>
    </w:rPr>
  </w:style>
  <w:style w:type="paragraph" w:styleId="a4">
    <w:name w:val="annotation text"/>
    <w:basedOn w:val="a"/>
    <w:semiHidden/>
    <w:rsid w:val="00DD2567"/>
    <w:pPr>
      <w:jc w:val="left"/>
    </w:pPr>
  </w:style>
  <w:style w:type="paragraph" w:styleId="a5">
    <w:name w:val="Normal Indent"/>
    <w:basedOn w:val="a"/>
    <w:rsid w:val="00DD2567"/>
    <w:pPr>
      <w:ind w:firstLineChars="200" w:firstLine="420"/>
    </w:pPr>
  </w:style>
  <w:style w:type="paragraph" w:styleId="a6">
    <w:name w:val="Document Map"/>
    <w:basedOn w:val="a"/>
    <w:rsid w:val="00DD2567"/>
    <w:pPr>
      <w:shd w:val="clear" w:color="auto" w:fill="000080"/>
    </w:pPr>
  </w:style>
  <w:style w:type="paragraph" w:styleId="a7">
    <w:name w:val="Body Text"/>
    <w:basedOn w:val="a"/>
    <w:link w:val="Char"/>
    <w:rsid w:val="00DD2567"/>
    <w:pPr>
      <w:autoSpaceDE w:val="0"/>
      <w:autoSpaceDN w:val="0"/>
      <w:adjustRightInd w:val="0"/>
      <w:spacing w:line="360" w:lineRule="auto"/>
      <w:jc w:val="left"/>
    </w:pPr>
    <w:rPr>
      <w:rFonts w:ascii="宋体"/>
      <w:kern w:val="0"/>
      <w:sz w:val="20"/>
    </w:rPr>
  </w:style>
  <w:style w:type="paragraph" w:styleId="a8">
    <w:name w:val="Body Text Indent"/>
    <w:basedOn w:val="a"/>
    <w:rsid w:val="00DD2567"/>
    <w:pPr>
      <w:spacing w:line="360" w:lineRule="auto"/>
      <w:ind w:firstLineChars="192" w:firstLine="538"/>
    </w:pPr>
    <w:rPr>
      <w:rFonts w:ascii="仿宋_GB2312" w:eastAsia="仿宋_GB2312"/>
      <w:sz w:val="28"/>
    </w:rPr>
  </w:style>
  <w:style w:type="paragraph" w:styleId="30">
    <w:name w:val="toc 3"/>
    <w:basedOn w:val="a"/>
    <w:next w:val="a"/>
    <w:rsid w:val="00DD2567"/>
    <w:pPr>
      <w:ind w:leftChars="400" w:left="840"/>
    </w:pPr>
  </w:style>
  <w:style w:type="paragraph" w:styleId="a9">
    <w:name w:val="Plain Text"/>
    <w:basedOn w:val="a"/>
    <w:link w:val="Char0"/>
    <w:rsid w:val="00DD2567"/>
    <w:pPr>
      <w:adjustRightInd w:val="0"/>
      <w:spacing w:line="312" w:lineRule="atLeast"/>
      <w:textAlignment w:val="baseline"/>
    </w:pPr>
    <w:rPr>
      <w:rFonts w:ascii="宋体" w:hAnsi="Courier New"/>
      <w:kern w:val="0"/>
    </w:rPr>
  </w:style>
  <w:style w:type="paragraph" w:styleId="20">
    <w:name w:val="Body Text Indent 2"/>
    <w:basedOn w:val="a"/>
    <w:rsid w:val="00DD2567"/>
    <w:pPr>
      <w:spacing w:after="120" w:line="480" w:lineRule="auto"/>
      <w:ind w:leftChars="200" w:left="420"/>
    </w:pPr>
  </w:style>
  <w:style w:type="paragraph" w:styleId="aa">
    <w:name w:val="Balloon Text"/>
    <w:basedOn w:val="a"/>
    <w:rsid w:val="00DD2567"/>
    <w:rPr>
      <w:sz w:val="18"/>
      <w:szCs w:val="18"/>
    </w:rPr>
  </w:style>
  <w:style w:type="paragraph" w:styleId="ab">
    <w:name w:val="footer"/>
    <w:basedOn w:val="a"/>
    <w:link w:val="Char1"/>
    <w:uiPriority w:val="99"/>
    <w:rsid w:val="00DD2567"/>
    <w:pPr>
      <w:tabs>
        <w:tab w:val="center" w:pos="4153"/>
        <w:tab w:val="right" w:pos="8306"/>
      </w:tabs>
      <w:snapToGrid w:val="0"/>
    </w:pPr>
    <w:rPr>
      <w:sz w:val="18"/>
    </w:rPr>
  </w:style>
  <w:style w:type="paragraph" w:styleId="ac">
    <w:name w:val="header"/>
    <w:basedOn w:val="a"/>
    <w:link w:val="Char2"/>
    <w:rsid w:val="00DD256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rsid w:val="00DD2567"/>
    <w:pPr>
      <w:tabs>
        <w:tab w:val="right" w:leader="dot" w:pos="8296"/>
      </w:tabs>
      <w:spacing w:line="360" w:lineRule="auto"/>
    </w:pPr>
  </w:style>
  <w:style w:type="paragraph" w:styleId="ad">
    <w:name w:val="footnote text"/>
    <w:basedOn w:val="a"/>
    <w:rsid w:val="00DD2567"/>
    <w:pPr>
      <w:snapToGrid w:val="0"/>
      <w:jc w:val="left"/>
    </w:pPr>
    <w:rPr>
      <w:sz w:val="18"/>
    </w:rPr>
  </w:style>
  <w:style w:type="paragraph" w:styleId="31">
    <w:name w:val="Body Text Indent 3"/>
    <w:basedOn w:val="a"/>
    <w:rsid w:val="00DD2567"/>
    <w:pPr>
      <w:autoSpaceDE w:val="0"/>
      <w:autoSpaceDN w:val="0"/>
      <w:adjustRightInd w:val="0"/>
      <w:spacing w:line="360" w:lineRule="auto"/>
      <w:ind w:left="420" w:firstLine="435"/>
    </w:pPr>
    <w:rPr>
      <w:color w:val="0000FF"/>
    </w:rPr>
  </w:style>
  <w:style w:type="paragraph" w:styleId="ae">
    <w:name w:val="Title"/>
    <w:basedOn w:val="a"/>
    <w:next w:val="a"/>
    <w:link w:val="Char3"/>
    <w:qFormat/>
    <w:rsid w:val="00DD2567"/>
    <w:pPr>
      <w:spacing w:before="240" w:after="60"/>
      <w:jc w:val="center"/>
      <w:outlineLvl w:val="0"/>
    </w:pPr>
    <w:rPr>
      <w:rFonts w:ascii="Cambria" w:hAnsi="Cambria"/>
      <w:b/>
      <w:sz w:val="32"/>
    </w:rPr>
  </w:style>
  <w:style w:type="character" w:styleId="af">
    <w:name w:val="page number"/>
    <w:basedOn w:val="a0"/>
    <w:rsid w:val="00DD2567"/>
  </w:style>
  <w:style w:type="character" w:styleId="af0">
    <w:name w:val="Hyperlink"/>
    <w:uiPriority w:val="99"/>
    <w:rsid w:val="00DD2567"/>
    <w:rPr>
      <w:color w:val="0000FF"/>
      <w:u w:val="single"/>
    </w:rPr>
  </w:style>
  <w:style w:type="character" w:styleId="af1">
    <w:name w:val="annotation reference"/>
    <w:rsid w:val="00DD2567"/>
    <w:rPr>
      <w:sz w:val="21"/>
    </w:rPr>
  </w:style>
  <w:style w:type="character" w:styleId="af2">
    <w:name w:val="footnote reference"/>
    <w:rsid w:val="00DD2567"/>
    <w:rPr>
      <w:vertAlign w:val="superscript"/>
    </w:rPr>
  </w:style>
  <w:style w:type="paragraph" w:customStyle="1" w:styleId="CharCharCharChar1">
    <w:name w:val="Char Char Char Char1"/>
    <w:basedOn w:val="a"/>
    <w:rsid w:val="00DD2567"/>
  </w:style>
  <w:style w:type="paragraph" w:customStyle="1" w:styleId="ParaCharCharCharCharCharCharCharCharCharCharCharCharCharCharCharCharCharCharCharCharCharCharCharChar">
    <w:name w:val="默认段落字体 Para Char Char Char Char Char Char Char Char Char Char Char Char Char Char Char Char Char Char Char Char Char Char Char Char"/>
    <w:basedOn w:val="a"/>
    <w:rsid w:val="00DD2567"/>
    <w:pPr>
      <w:tabs>
        <w:tab w:val="left" w:pos="840"/>
      </w:tabs>
      <w:ind w:left="840" w:hanging="360"/>
    </w:pPr>
  </w:style>
  <w:style w:type="paragraph" w:customStyle="1" w:styleId="Listbullet">
    <w:name w:val="List_bullet"/>
    <w:basedOn w:val="a"/>
    <w:rsid w:val="00DD2567"/>
    <w:pPr>
      <w:widowControl/>
      <w:numPr>
        <w:numId w:val="1"/>
      </w:numPr>
      <w:jc w:val="left"/>
    </w:pPr>
    <w:rPr>
      <w:kern w:val="0"/>
      <w:sz w:val="24"/>
    </w:rPr>
  </w:style>
  <w:style w:type="paragraph" w:customStyle="1" w:styleId="msonormal1">
    <w:name w:val="msonormal1"/>
    <w:rsid w:val="00DD2567"/>
    <w:pPr>
      <w:widowControl w:val="0"/>
      <w:jc w:val="both"/>
    </w:pPr>
    <w:rPr>
      <w:kern w:val="2"/>
      <w:sz w:val="21"/>
    </w:rPr>
  </w:style>
  <w:style w:type="paragraph" w:customStyle="1" w:styleId="CharChar1">
    <w:name w:val="Char Char1"/>
    <w:basedOn w:val="a"/>
    <w:rsid w:val="00DD2567"/>
  </w:style>
  <w:style w:type="paragraph" w:customStyle="1" w:styleId="CharChar">
    <w:name w:val="Char Char"/>
    <w:basedOn w:val="a"/>
    <w:rsid w:val="00DD2567"/>
  </w:style>
  <w:style w:type="paragraph" w:customStyle="1" w:styleId="Char4">
    <w:name w:val="Char"/>
    <w:basedOn w:val="a"/>
    <w:rsid w:val="00DD2567"/>
  </w:style>
  <w:style w:type="paragraph" w:customStyle="1" w:styleId="InfoBlue">
    <w:name w:val="InfoBlue"/>
    <w:basedOn w:val="a"/>
    <w:next w:val="a7"/>
    <w:rsid w:val="00DD2567"/>
    <w:pPr>
      <w:tabs>
        <w:tab w:val="left" w:pos="420"/>
      </w:tabs>
      <w:spacing w:after="120" w:line="240" w:lineRule="atLeast"/>
      <w:ind w:left="420" w:hanging="420"/>
      <w:jc w:val="left"/>
    </w:pPr>
    <w:rPr>
      <w:rFonts w:ascii="宋体" w:hAnsi="宋体"/>
    </w:rPr>
  </w:style>
  <w:style w:type="paragraph" w:customStyle="1" w:styleId="af3">
    <w:name w:val="正文所"/>
    <w:basedOn w:val="a"/>
    <w:rsid w:val="00DD2567"/>
    <w:pPr>
      <w:spacing w:line="360" w:lineRule="auto"/>
      <w:ind w:firstLineChars="200" w:firstLine="420"/>
    </w:pPr>
    <w:rPr>
      <w:rFonts w:ascii="宋体"/>
    </w:rPr>
  </w:style>
  <w:style w:type="paragraph" w:customStyle="1" w:styleId="Char10">
    <w:name w:val="Char1"/>
    <w:basedOn w:val="a"/>
    <w:rsid w:val="00DD2567"/>
  </w:style>
  <w:style w:type="paragraph" w:customStyle="1" w:styleId="Default">
    <w:name w:val="Default"/>
    <w:rsid w:val="00DD2567"/>
    <w:pPr>
      <w:widowControl w:val="0"/>
      <w:autoSpaceDE w:val="0"/>
      <w:autoSpaceDN w:val="0"/>
      <w:adjustRightInd w:val="0"/>
    </w:pPr>
    <w:rPr>
      <w:rFonts w:ascii="宋体"/>
      <w:color w:val="000000"/>
      <w:sz w:val="24"/>
    </w:rPr>
  </w:style>
  <w:style w:type="paragraph" w:customStyle="1" w:styleId="af4">
    <w:name w:val="正文正文"/>
    <w:basedOn w:val="a"/>
    <w:rsid w:val="00DD2567"/>
    <w:pPr>
      <w:spacing w:afterLines="25" w:line="360" w:lineRule="auto"/>
      <w:ind w:firstLineChars="200" w:firstLine="200"/>
    </w:pPr>
    <w:rPr>
      <w:sz w:val="24"/>
    </w:rPr>
  </w:style>
  <w:style w:type="paragraph" w:customStyle="1" w:styleId="CharCharCharChar">
    <w:name w:val="Char Char Char Char"/>
    <w:basedOn w:val="a"/>
    <w:rsid w:val="00DD2567"/>
    <w:pPr>
      <w:tabs>
        <w:tab w:val="left" w:pos="360"/>
      </w:tabs>
    </w:pPr>
  </w:style>
  <w:style w:type="paragraph" w:customStyle="1" w:styleId="unnamed1">
    <w:name w:val="unnamed1"/>
    <w:basedOn w:val="a"/>
    <w:rsid w:val="00DD2567"/>
    <w:pPr>
      <w:spacing w:before="60" w:after="60"/>
      <w:ind w:left="15" w:right="15"/>
    </w:pPr>
    <w:rPr>
      <w:rFonts w:ascii="宋体" w:hAnsi="宋体" w:hint="eastAsia"/>
      <w:color w:val="000000"/>
      <w:sz w:val="18"/>
      <w:szCs w:val="18"/>
    </w:rPr>
  </w:style>
  <w:style w:type="paragraph" w:customStyle="1" w:styleId="CharCharChar">
    <w:name w:val="Char Char Char"/>
    <w:basedOn w:val="a"/>
    <w:rsid w:val="00DD2567"/>
  </w:style>
  <w:style w:type="paragraph" w:customStyle="1" w:styleId="11">
    <w:name w:val="列出段落1"/>
    <w:basedOn w:val="a"/>
    <w:uiPriority w:val="34"/>
    <w:qFormat/>
    <w:rsid w:val="00DD2567"/>
    <w:pPr>
      <w:ind w:firstLineChars="200" w:firstLine="420"/>
    </w:pPr>
    <w:rPr>
      <w:rFonts w:ascii="Calibri" w:hAnsi="Calibri"/>
      <w:szCs w:val="22"/>
    </w:rPr>
  </w:style>
  <w:style w:type="paragraph" w:customStyle="1" w:styleId="12">
    <w:name w:val="修订1"/>
    <w:hidden/>
    <w:uiPriority w:val="99"/>
    <w:semiHidden/>
    <w:rsid w:val="00DD2567"/>
    <w:rPr>
      <w:kern w:val="2"/>
      <w:sz w:val="21"/>
    </w:rPr>
  </w:style>
  <w:style w:type="paragraph" w:customStyle="1" w:styleId="af5">
    <w:name w:val="报告署名"/>
    <w:basedOn w:val="a"/>
    <w:next w:val="a"/>
    <w:rsid w:val="00DD2567"/>
    <w:pPr>
      <w:spacing w:line="360" w:lineRule="auto"/>
      <w:jc w:val="center"/>
    </w:pPr>
    <w:rPr>
      <w:rFonts w:ascii="宋体" w:hAnsi="宋体"/>
      <w:sz w:val="24"/>
    </w:rPr>
  </w:style>
  <w:style w:type="paragraph" w:customStyle="1" w:styleId="ParaCharCharCharCharCharCharChar">
    <w:name w:val="默认段落字体 Para Char Char Char Char Char Char Char"/>
    <w:basedOn w:val="a"/>
    <w:rsid w:val="00DD2567"/>
    <w:pPr>
      <w:widowControl/>
      <w:jc w:val="left"/>
    </w:pPr>
    <w:rPr>
      <w:sz w:val="24"/>
      <w:szCs w:val="24"/>
    </w:rPr>
  </w:style>
  <w:style w:type="paragraph" w:customStyle="1" w:styleId="21">
    <w:name w:val="修订2"/>
    <w:hidden/>
    <w:uiPriority w:val="99"/>
    <w:unhideWhenUsed/>
    <w:rsid w:val="00DD2567"/>
    <w:rPr>
      <w:kern w:val="2"/>
      <w:sz w:val="21"/>
    </w:rPr>
  </w:style>
  <w:style w:type="paragraph" w:customStyle="1" w:styleId="22">
    <w:name w:val="列出段落2"/>
    <w:basedOn w:val="a"/>
    <w:uiPriority w:val="99"/>
    <w:unhideWhenUsed/>
    <w:rsid w:val="00DD2567"/>
    <w:pPr>
      <w:ind w:firstLineChars="200" w:firstLine="420"/>
    </w:pPr>
  </w:style>
  <w:style w:type="character" w:customStyle="1" w:styleId="read">
    <w:name w:val="read"/>
    <w:basedOn w:val="a0"/>
    <w:rsid w:val="00DD2567"/>
  </w:style>
  <w:style w:type="character" w:customStyle="1" w:styleId="Char3">
    <w:name w:val="标题 Char"/>
    <w:link w:val="ae"/>
    <w:rsid w:val="00DD2567"/>
    <w:rPr>
      <w:rFonts w:ascii="Cambria" w:hAnsi="Cambria"/>
      <w:b/>
      <w:kern w:val="2"/>
      <w:sz w:val="32"/>
      <w:lang w:bidi="ar-SA"/>
    </w:rPr>
  </w:style>
  <w:style w:type="character" w:customStyle="1" w:styleId="Char2">
    <w:name w:val="页眉 Char"/>
    <w:link w:val="ac"/>
    <w:rsid w:val="00DD2567"/>
    <w:rPr>
      <w:rFonts w:eastAsia="宋体"/>
      <w:kern w:val="2"/>
      <w:sz w:val="18"/>
      <w:lang w:val="en-US" w:eastAsia="zh-CN" w:bidi="ar-SA"/>
    </w:rPr>
  </w:style>
  <w:style w:type="character" w:customStyle="1" w:styleId="unnamed11">
    <w:name w:val="unnamed11"/>
    <w:rsid w:val="00DD2567"/>
    <w:rPr>
      <w:rFonts w:ascii="宋体" w:eastAsia="宋体" w:hAnsi="宋体" w:hint="eastAsia"/>
      <w:sz w:val="18"/>
    </w:rPr>
  </w:style>
  <w:style w:type="character" w:customStyle="1" w:styleId="Char">
    <w:name w:val="正文文本 Char"/>
    <w:link w:val="a7"/>
    <w:rsid w:val="00DD2567"/>
    <w:rPr>
      <w:rFonts w:ascii="宋体"/>
      <w:lang w:bidi="ar-SA"/>
    </w:rPr>
  </w:style>
  <w:style w:type="character" w:customStyle="1" w:styleId="Char1">
    <w:name w:val="页脚 Char"/>
    <w:link w:val="ab"/>
    <w:uiPriority w:val="99"/>
    <w:rsid w:val="00DD2567"/>
    <w:rPr>
      <w:kern w:val="2"/>
      <w:sz w:val="18"/>
    </w:rPr>
  </w:style>
  <w:style w:type="character" w:customStyle="1" w:styleId="Char0">
    <w:name w:val="纯文本 Char"/>
    <w:link w:val="a9"/>
    <w:rsid w:val="00DD2567"/>
    <w:rPr>
      <w:rFonts w:ascii="宋体" w:hAnsi="Courier New"/>
      <w:sz w:val="21"/>
    </w:rPr>
  </w:style>
  <w:style w:type="paragraph" w:styleId="af6">
    <w:name w:val="Revision"/>
    <w:hidden/>
    <w:uiPriority w:val="99"/>
    <w:unhideWhenUsed/>
    <w:rsid w:val="005B107A"/>
    <w:rPr>
      <w:kern w:val="2"/>
      <w:sz w:val="21"/>
    </w:rPr>
  </w:style>
  <w:style w:type="paragraph" w:customStyle="1" w:styleId="xl33">
    <w:name w:val="xl33"/>
    <w:basedOn w:val="a"/>
    <w:rsid w:val="00C00DE9"/>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styleId="af7">
    <w:name w:val="Normal (Web)"/>
    <w:basedOn w:val="a"/>
    <w:rsid w:val="00C00DE9"/>
    <w:pPr>
      <w:widowControl/>
      <w:spacing w:before="100" w:beforeAutospacing="1" w:after="100" w:afterAutospacing="1"/>
      <w:jc w:val="left"/>
    </w:pPr>
    <w:rPr>
      <w:rFonts w:ascii="宋体" w:hAnsi="宋体"/>
      <w:kern w:val="0"/>
      <w:sz w:val="24"/>
    </w:rPr>
  </w:style>
  <w:style w:type="character" w:styleId="af8">
    <w:name w:val="FollowedHyperlink"/>
    <w:basedOn w:val="a0"/>
    <w:semiHidden/>
    <w:unhideWhenUsed/>
    <w:rsid w:val="00C4388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2298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hyperlink" Target="http://www.zsfund.com/data/201610251652594465.pdf" TargetMode="Externa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1234567.com.cn/" TargetMode="External"/><Relationship Id="rId17" Type="http://schemas.openxmlformats.org/officeDocument/2006/relationships/hyperlink" Target="http://www.zsfund.com/data/201609021757092694.pdf" TargetMode="External"/><Relationship Id="rId2" Type="http://schemas.openxmlformats.org/officeDocument/2006/relationships/customXml" Target="../customXml/item2.xml"/><Relationship Id="rId16" Type="http://schemas.openxmlformats.org/officeDocument/2006/relationships/hyperlink" Target="http://www.zsfund.com/data/201605300917318968.pdf"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zsfund.com/" TargetMode="External"/><Relationship Id="rId5" Type="http://schemas.openxmlformats.org/officeDocument/2006/relationships/settings" Target="settings.xml"/><Relationship Id="rId15" Type="http://schemas.openxmlformats.org/officeDocument/2006/relationships/hyperlink" Target="mailto:services@zsfund.com"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zsfund.com/"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zsfund.com/"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95EA3C-7C68-4116-B0BA-BA12C6CC2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120</Pages>
  <Words>12011</Words>
  <Characters>68469</Characters>
  <Application>Microsoft Office Word</Application>
  <DocSecurity>0</DocSecurity>
  <Lines>570</Lines>
  <Paragraphs>160</Paragraphs>
  <ScaleCrop>false</ScaleCrop>
  <Company>微软中国</Company>
  <LinksUpToDate>false</LinksUpToDate>
  <CharactersWithSpaces>80320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关于《分级基金产品审核指引》</dc:title>
  <dc:creator>`csrc</dc:creator>
  <cp:lastModifiedBy>郑惟晴</cp:lastModifiedBy>
  <cp:revision>3</cp:revision>
  <cp:lastPrinted>2015-05-31T18:13:00Z</cp:lastPrinted>
  <dcterms:created xsi:type="dcterms:W3CDTF">2016-12-06T05:53:00Z</dcterms:created>
  <dcterms:modified xsi:type="dcterms:W3CDTF">2016-12-06T05:54:00Z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2052-9.1.0.5060</vt:lpwstr>
  </property>
</Properties>
</file>